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89CDBA" w14:textId="44502A40" w:rsidR="003B0C1E" w:rsidRDefault="003B0C1E" w:rsidP="00F62B02">
      <w:pPr>
        <w:overflowPunct/>
        <w:autoSpaceDE/>
        <w:autoSpaceDN/>
        <w:adjustRightInd/>
        <w:jc w:val="both"/>
        <w:textAlignment w:val="auto"/>
        <w:rPr>
          <w:rFonts w:asciiTheme="minorHAnsi" w:hAnsiTheme="minorHAnsi" w:cs="Arial"/>
          <w:b/>
          <w:sz w:val="28"/>
        </w:rPr>
      </w:pPr>
      <w:bookmarkStart w:id="0" w:name="_GoBack"/>
      <w:r>
        <w:rPr>
          <w:rFonts w:asciiTheme="minorHAnsi" w:hAnsiTheme="minorHAnsi" w:cs="Arial"/>
          <w:b/>
          <w:sz w:val="28"/>
        </w:rPr>
        <w:t>IFIEC Europe answer to the ENTSO-e consultation on the proposal for the VoLL, CONE and Reliability Standard Methodology</w:t>
      </w:r>
    </w:p>
    <w:p w14:paraId="4D015AA2" w14:textId="47FEC8E0" w:rsidR="006804D9" w:rsidRPr="001C1DFC" w:rsidRDefault="006804D9" w:rsidP="00F62B02">
      <w:pPr>
        <w:overflowPunct/>
        <w:autoSpaceDE/>
        <w:autoSpaceDN/>
        <w:adjustRightInd/>
        <w:jc w:val="both"/>
        <w:textAlignment w:val="auto"/>
        <w:rPr>
          <w:rFonts w:asciiTheme="minorHAnsi" w:hAnsiTheme="minorHAnsi" w:cs="Arial"/>
          <w:b/>
          <w:u w:val="single"/>
        </w:rPr>
      </w:pPr>
    </w:p>
    <w:p w14:paraId="57CC9471" w14:textId="27A8D7E9" w:rsidR="00F62B02" w:rsidRDefault="003B0C1E" w:rsidP="00784AA3">
      <w:pPr>
        <w:overflowPunct/>
        <w:autoSpaceDE/>
        <w:autoSpaceDN/>
        <w:adjustRightInd/>
        <w:jc w:val="both"/>
        <w:textAlignment w:val="auto"/>
        <w:rPr>
          <w:rFonts w:asciiTheme="minorHAnsi" w:hAnsiTheme="minorHAnsi" w:cs="Arial"/>
        </w:rPr>
      </w:pPr>
      <w:r>
        <w:rPr>
          <w:rFonts w:asciiTheme="minorHAnsi" w:hAnsiTheme="minorHAnsi" w:cs="Arial"/>
        </w:rPr>
        <w:t xml:space="preserve">IFIEC Europe </w:t>
      </w:r>
      <w:r w:rsidR="001C1DFC" w:rsidRPr="001C1DFC">
        <w:rPr>
          <w:rFonts w:asciiTheme="minorHAnsi" w:hAnsiTheme="minorHAnsi" w:cs="Arial"/>
        </w:rPr>
        <w:t>w</w:t>
      </w:r>
      <w:r w:rsidR="001C1DFC">
        <w:rPr>
          <w:rFonts w:asciiTheme="minorHAnsi" w:hAnsiTheme="minorHAnsi" w:cs="Arial"/>
        </w:rPr>
        <w:t xml:space="preserve">ould like to thank </w:t>
      </w:r>
      <w:r>
        <w:rPr>
          <w:rFonts w:asciiTheme="minorHAnsi" w:hAnsiTheme="minorHAnsi" w:cs="Arial"/>
        </w:rPr>
        <w:t xml:space="preserve">ENTSO-e </w:t>
      </w:r>
      <w:r w:rsidR="001C1DFC">
        <w:rPr>
          <w:rFonts w:asciiTheme="minorHAnsi" w:hAnsiTheme="minorHAnsi" w:cs="Arial"/>
        </w:rPr>
        <w:t xml:space="preserve">for </w:t>
      </w:r>
      <w:r w:rsidR="00415516">
        <w:rPr>
          <w:rFonts w:asciiTheme="minorHAnsi" w:hAnsiTheme="minorHAnsi" w:cs="Arial"/>
        </w:rPr>
        <w:t xml:space="preserve">this consultation on the </w:t>
      </w:r>
      <w:r w:rsidRPr="003B0C1E">
        <w:rPr>
          <w:rFonts w:asciiTheme="minorHAnsi" w:hAnsiTheme="minorHAnsi" w:cs="Arial"/>
        </w:rPr>
        <w:t>proposal for the VoLL, CONE and Reliability Standard Methodology</w:t>
      </w:r>
      <w:r w:rsidR="00D260BC">
        <w:rPr>
          <w:rFonts w:asciiTheme="minorHAnsi" w:hAnsiTheme="minorHAnsi" w:cs="Arial"/>
        </w:rPr>
        <w:t xml:space="preserve">. IFIEC Europe wants to stress the importance of these methodologies, as they will be instrumental in the European and national resource adequacy assessments. IFIEC Europe also wants to stress that this consultation and its answer to this consultation are only touching on high level principles, whereas the proof of the pudding will be in the eating, when these methodologies will be applied to the European and/or national electricity markets. It is of the utmost importance that also the translation of the described principles into operational models, input collection efforts etcetera is conducted in a thorough way in order to ensure that all relevant data are used but also that no (voluntary or involuntary) over- or undershooting is </w:t>
      </w:r>
      <w:r w:rsidR="00B8231F">
        <w:rPr>
          <w:rFonts w:asciiTheme="minorHAnsi" w:hAnsiTheme="minorHAnsi" w:cs="Arial"/>
        </w:rPr>
        <w:t>created in the implementation phase.</w:t>
      </w:r>
    </w:p>
    <w:p w14:paraId="136FBF7E" w14:textId="411200F1" w:rsidR="00B8231F" w:rsidRDefault="00B8231F" w:rsidP="00784AA3">
      <w:pPr>
        <w:overflowPunct/>
        <w:autoSpaceDE/>
        <w:autoSpaceDN/>
        <w:adjustRightInd/>
        <w:jc w:val="both"/>
        <w:textAlignment w:val="auto"/>
        <w:rPr>
          <w:rFonts w:asciiTheme="minorHAnsi" w:hAnsiTheme="minorHAnsi" w:cs="Arial"/>
        </w:rPr>
      </w:pPr>
    </w:p>
    <w:p w14:paraId="6ABAF1EB" w14:textId="5199F0A6" w:rsidR="00B8231F" w:rsidRDefault="00EB4DE1" w:rsidP="00784AA3">
      <w:pPr>
        <w:overflowPunct/>
        <w:autoSpaceDE/>
        <w:autoSpaceDN/>
        <w:adjustRightInd/>
        <w:jc w:val="both"/>
        <w:textAlignment w:val="auto"/>
        <w:rPr>
          <w:rFonts w:asciiTheme="minorHAnsi" w:hAnsiTheme="minorHAnsi" w:cs="Arial"/>
        </w:rPr>
      </w:pPr>
      <w:r>
        <w:rPr>
          <w:rFonts w:asciiTheme="minorHAnsi" w:hAnsiTheme="minorHAnsi" w:cs="Arial"/>
        </w:rPr>
        <w:t>With respect to the definitions and interpretations, IFIEC Europe has some questions. The first one is related to the cost of new entry (CONE), which takes into account the total annual net revenue per unit of de-rated capacity, where it is unclear which gross revenues are taken into account, specifically those revenues coming from delivery of ancillary services (balancing, reactive power, blackstart, …), as these revenue streams also ensure the economic viability of assets and are non-negligible on market level.</w:t>
      </w:r>
      <w:r w:rsidR="00061423">
        <w:rPr>
          <w:rFonts w:asciiTheme="minorHAnsi" w:hAnsiTheme="minorHAnsi" w:cs="Arial"/>
        </w:rPr>
        <w:t xml:space="preserve"> The second question related to the Country Risk Premium, where its is unclear </w:t>
      </w:r>
      <w:r w:rsidR="00061423" w:rsidRPr="00061423">
        <w:rPr>
          <w:rFonts w:asciiTheme="minorHAnsi" w:hAnsiTheme="minorHAnsi" w:cs="Arial"/>
          <w:b/>
          <w:bCs/>
        </w:rPr>
        <w:t>how</w:t>
      </w:r>
      <w:r w:rsidR="00061423">
        <w:rPr>
          <w:rFonts w:asciiTheme="minorHAnsi" w:hAnsiTheme="minorHAnsi" w:cs="Arial"/>
        </w:rPr>
        <w:t xml:space="preserve"> this will be calculated and which country/countries will be considered as the </w:t>
      </w:r>
      <w:r w:rsidR="00561EA2">
        <w:rPr>
          <w:rFonts w:asciiTheme="minorHAnsi" w:hAnsiTheme="minorHAnsi" w:cs="Arial"/>
        </w:rPr>
        <w:t>reference. With</w:t>
      </w:r>
      <w:r w:rsidR="00D935E3">
        <w:rPr>
          <w:rFonts w:asciiTheme="minorHAnsi" w:hAnsiTheme="minorHAnsi" w:cs="Arial"/>
        </w:rPr>
        <w:t xml:space="preserve"> respect to the definition of Demand Side </w:t>
      </w:r>
      <w:r w:rsidR="00561EA2">
        <w:rPr>
          <w:rFonts w:asciiTheme="minorHAnsi" w:hAnsiTheme="minorHAnsi" w:cs="Arial"/>
        </w:rPr>
        <w:t>Response</w:t>
      </w:r>
      <w:r w:rsidR="00D935E3">
        <w:rPr>
          <w:rFonts w:asciiTheme="minorHAnsi" w:hAnsiTheme="minorHAnsi" w:cs="Arial"/>
        </w:rPr>
        <w:t xml:space="preserve"> (DSR), IFIEC Europe does agree with the proposed </w:t>
      </w:r>
      <w:r w:rsidR="00561EA2">
        <w:rPr>
          <w:rFonts w:asciiTheme="minorHAnsi" w:hAnsiTheme="minorHAnsi" w:cs="Arial"/>
        </w:rPr>
        <w:t>definition</w:t>
      </w:r>
      <w:r w:rsidR="00D935E3">
        <w:rPr>
          <w:rFonts w:asciiTheme="minorHAnsi" w:hAnsiTheme="minorHAnsi" w:cs="Arial"/>
        </w:rPr>
        <w:t xml:space="preserve">, insofar it is clear that this refers to </w:t>
      </w:r>
      <w:r w:rsidR="00561EA2">
        <w:rPr>
          <w:rFonts w:asciiTheme="minorHAnsi" w:hAnsiTheme="minorHAnsi" w:cs="Arial"/>
        </w:rPr>
        <w:t>voluntary</w:t>
      </w:r>
      <w:r w:rsidR="00D935E3">
        <w:rPr>
          <w:rFonts w:asciiTheme="minorHAnsi" w:hAnsiTheme="minorHAnsi" w:cs="Arial"/>
        </w:rPr>
        <w:t xml:space="preserve"> and remunerated</w:t>
      </w:r>
      <w:r w:rsidR="001313A4">
        <w:rPr>
          <w:rFonts w:asciiTheme="minorHAnsi" w:hAnsiTheme="minorHAnsi" w:cs="Arial"/>
        </w:rPr>
        <w:t xml:space="preserve"> DSR</w:t>
      </w:r>
      <w:r w:rsidR="00D935E3">
        <w:rPr>
          <w:rFonts w:asciiTheme="minorHAnsi" w:hAnsiTheme="minorHAnsi" w:cs="Arial"/>
        </w:rPr>
        <w:t xml:space="preserve"> (through the market or </w:t>
      </w:r>
      <w:r w:rsidR="00561EA2">
        <w:rPr>
          <w:rFonts w:asciiTheme="minorHAnsi" w:hAnsiTheme="minorHAnsi" w:cs="Arial"/>
        </w:rPr>
        <w:t xml:space="preserve">system operators); involuntary and/or non-remunerated curtailment is not considered by IFIEC Europe as demand side response. </w:t>
      </w:r>
      <w:r w:rsidR="00CE05F6">
        <w:rPr>
          <w:rFonts w:asciiTheme="minorHAnsi" w:hAnsiTheme="minorHAnsi" w:cs="Arial"/>
        </w:rPr>
        <w:t xml:space="preserve">With respect to the definition of Energy Not Served (ENS), IFIEC Europe does not agree to the extent that only market-based resources are considered, whereas it is clear that also non-market-based resources, including e.g. strategic reserves but also other system reserves and even other options in the arsenal of system operators, should be considered as these also influence the ENS. In this context, it </w:t>
      </w:r>
      <w:r w:rsidR="002031B1">
        <w:rPr>
          <w:rFonts w:asciiTheme="minorHAnsi" w:hAnsiTheme="minorHAnsi" w:cs="Arial"/>
        </w:rPr>
        <w:t>is</w:t>
      </w:r>
      <w:r w:rsidR="00CE05F6">
        <w:rPr>
          <w:rFonts w:asciiTheme="minorHAnsi" w:hAnsiTheme="minorHAnsi" w:cs="Arial"/>
        </w:rPr>
        <w:t xml:space="preserve"> very important for IFIEC Europe to make a very clear distinction between </w:t>
      </w:r>
      <w:r w:rsidR="002031B1">
        <w:rPr>
          <w:rFonts w:asciiTheme="minorHAnsi" w:hAnsiTheme="minorHAnsi" w:cs="Arial"/>
        </w:rPr>
        <w:t>Expected</w:t>
      </w:r>
      <w:r w:rsidR="00CE05F6">
        <w:rPr>
          <w:rFonts w:asciiTheme="minorHAnsi" w:hAnsiTheme="minorHAnsi" w:cs="Arial"/>
        </w:rPr>
        <w:t xml:space="preserve"> ENS, which is calculated in advance, and the real ENS that is observed in the </w:t>
      </w:r>
      <w:r w:rsidR="002031B1">
        <w:rPr>
          <w:rFonts w:asciiTheme="minorHAnsi" w:hAnsiTheme="minorHAnsi" w:cs="Arial"/>
        </w:rPr>
        <w:t>real time</w:t>
      </w:r>
      <w:r w:rsidR="00CE05F6">
        <w:rPr>
          <w:rFonts w:asciiTheme="minorHAnsi" w:hAnsiTheme="minorHAnsi" w:cs="Arial"/>
        </w:rPr>
        <w:t xml:space="preserve"> timeframe, which is in the end the only relevant measure. </w:t>
      </w:r>
      <w:r w:rsidR="002031B1">
        <w:rPr>
          <w:rFonts w:asciiTheme="minorHAnsi" w:hAnsiTheme="minorHAnsi" w:cs="Arial"/>
        </w:rPr>
        <w:t xml:space="preserve">This means that if an analysis is conducted based on the day-ahead market timeframe to determine the Expected ENS, it is clear that this overestimates the potential ENS, as all measures that can still be taken after the closing of the Day-Ahead timeframe in order to alleviate or even completely avoid any ENS are </w:t>
      </w:r>
      <w:r w:rsidR="00991CF1">
        <w:rPr>
          <w:rFonts w:asciiTheme="minorHAnsi" w:hAnsiTheme="minorHAnsi" w:cs="Arial"/>
        </w:rPr>
        <w:t xml:space="preserve">discarded. With respect to the definition of Value of Lost Load (VoLL), IFIEC Europe </w:t>
      </w:r>
      <w:r w:rsidR="002F665D">
        <w:rPr>
          <w:rFonts w:asciiTheme="minorHAnsi" w:hAnsiTheme="minorHAnsi" w:cs="Arial"/>
        </w:rPr>
        <w:t>wants to stress that the European Commission defines VoLL as “</w:t>
      </w:r>
      <w:r w:rsidR="002F665D" w:rsidRPr="00EC5613">
        <w:rPr>
          <w:rFonts w:asciiTheme="minorHAnsi" w:hAnsiTheme="minorHAnsi" w:cs="Arial"/>
          <w:i/>
          <w:iCs/>
        </w:rPr>
        <w:t xml:space="preserve">the maximum </w:t>
      </w:r>
      <w:r w:rsidR="00EC5613" w:rsidRPr="00EC5613">
        <w:rPr>
          <w:rFonts w:asciiTheme="minorHAnsi" w:hAnsiTheme="minorHAnsi" w:cs="Arial"/>
          <w:i/>
          <w:iCs/>
        </w:rPr>
        <w:t>electricity</w:t>
      </w:r>
      <w:r w:rsidR="002F665D" w:rsidRPr="00EC5613">
        <w:rPr>
          <w:rFonts w:asciiTheme="minorHAnsi" w:hAnsiTheme="minorHAnsi" w:cs="Arial"/>
          <w:i/>
          <w:iCs/>
        </w:rPr>
        <w:t xml:space="preserve"> price that </w:t>
      </w:r>
      <w:r w:rsidR="00EC5613" w:rsidRPr="00EC5613">
        <w:rPr>
          <w:rFonts w:asciiTheme="minorHAnsi" w:hAnsiTheme="minorHAnsi" w:cs="Arial"/>
          <w:i/>
          <w:iCs/>
        </w:rPr>
        <w:t>customers</w:t>
      </w:r>
      <w:r w:rsidR="002F665D" w:rsidRPr="00EC5613">
        <w:rPr>
          <w:rFonts w:asciiTheme="minorHAnsi" w:hAnsiTheme="minorHAnsi" w:cs="Arial"/>
          <w:i/>
          <w:iCs/>
        </w:rPr>
        <w:t xml:space="preserve"> are </w:t>
      </w:r>
      <w:r w:rsidR="00EC5613" w:rsidRPr="00EC5613">
        <w:rPr>
          <w:rFonts w:asciiTheme="minorHAnsi" w:hAnsiTheme="minorHAnsi" w:cs="Arial"/>
          <w:i/>
          <w:iCs/>
        </w:rPr>
        <w:t>willing</w:t>
      </w:r>
      <w:r w:rsidR="002F665D" w:rsidRPr="00EC5613">
        <w:rPr>
          <w:rFonts w:asciiTheme="minorHAnsi" w:hAnsiTheme="minorHAnsi" w:cs="Arial"/>
          <w:i/>
          <w:iCs/>
        </w:rPr>
        <w:t xml:space="preserve"> to pay to avoid an outage</w:t>
      </w:r>
      <w:r w:rsidR="002F665D">
        <w:rPr>
          <w:rFonts w:asciiTheme="minorHAnsi" w:hAnsiTheme="minorHAnsi" w:cs="Arial"/>
        </w:rPr>
        <w:t xml:space="preserve">”, thus as the price point at which the consumer is </w:t>
      </w:r>
      <w:r w:rsidR="00EC5613">
        <w:rPr>
          <w:rFonts w:asciiTheme="minorHAnsi" w:hAnsiTheme="minorHAnsi" w:cs="Arial"/>
        </w:rPr>
        <w:t>indifferent</w:t>
      </w:r>
      <w:r w:rsidR="002F665D">
        <w:rPr>
          <w:rFonts w:asciiTheme="minorHAnsi" w:hAnsiTheme="minorHAnsi" w:cs="Arial"/>
        </w:rPr>
        <w:t xml:space="preserve"> between </w:t>
      </w:r>
      <w:r w:rsidR="00EC5613">
        <w:rPr>
          <w:rFonts w:asciiTheme="minorHAnsi" w:hAnsiTheme="minorHAnsi" w:cs="Arial"/>
        </w:rPr>
        <w:t>paying</w:t>
      </w:r>
      <w:r w:rsidR="002F665D">
        <w:rPr>
          <w:rFonts w:asciiTheme="minorHAnsi" w:hAnsiTheme="minorHAnsi" w:cs="Arial"/>
        </w:rPr>
        <w:t xml:space="preserve"> for electricity and </w:t>
      </w:r>
      <w:r w:rsidR="001313A4">
        <w:rPr>
          <w:rFonts w:asciiTheme="minorHAnsi" w:hAnsiTheme="minorHAnsi" w:cs="Arial"/>
        </w:rPr>
        <w:t xml:space="preserve"> voluntarily stopping consuming</w:t>
      </w:r>
      <w:r w:rsidR="00EC5613">
        <w:rPr>
          <w:rFonts w:asciiTheme="minorHAnsi" w:hAnsiTheme="minorHAnsi" w:cs="Arial"/>
        </w:rPr>
        <w:t xml:space="preserve">. </w:t>
      </w:r>
    </w:p>
    <w:p w14:paraId="07ED0870" w14:textId="2B696297" w:rsidR="000F72C7" w:rsidRDefault="000F72C7" w:rsidP="00784AA3">
      <w:pPr>
        <w:overflowPunct/>
        <w:autoSpaceDE/>
        <w:autoSpaceDN/>
        <w:adjustRightInd/>
        <w:jc w:val="both"/>
        <w:textAlignment w:val="auto"/>
        <w:rPr>
          <w:rFonts w:asciiTheme="minorHAnsi" w:hAnsiTheme="minorHAnsi" w:cs="Arial"/>
        </w:rPr>
      </w:pPr>
    </w:p>
    <w:p w14:paraId="461632AE" w14:textId="3BD598E2" w:rsidR="00F62B02" w:rsidRDefault="000F72C7" w:rsidP="00F62B02">
      <w:pPr>
        <w:overflowPunct/>
        <w:autoSpaceDE/>
        <w:autoSpaceDN/>
        <w:adjustRightInd/>
        <w:jc w:val="both"/>
        <w:textAlignment w:val="auto"/>
        <w:rPr>
          <w:rFonts w:asciiTheme="minorHAnsi" w:hAnsiTheme="minorHAnsi" w:cs="Arial"/>
        </w:rPr>
      </w:pPr>
      <w:r>
        <w:rPr>
          <w:rFonts w:asciiTheme="minorHAnsi" w:hAnsiTheme="minorHAnsi" w:cs="Arial"/>
        </w:rPr>
        <w:t xml:space="preserve">On VoLL in </w:t>
      </w:r>
      <w:r w:rsidR="00DE265F">
        <w:rPr>
          <w:rFonts w:asciiTheme="minorHAnsi" w:hAnsiTheme="minorHAnsi" w:cs="Arial"/>
        </w:rPr>
        <w:t>general</w:t>
      </w:r>
      <w:r>
        <w:rPr>
          <w:rFonts w:asciiTheme="minorHAnsi" w:hAnsiTheme="minorHAnsi" w:cs="Arial"/>
        </w:rPr>
        <w:t xml:space="preserve">, IFIEC Europe </w:t>
      </w:r>
      <w:r w:rsidR="00DE265F">
        <w:rPr>
          <w:rFonts w:asciiTheme="minorHAnsi" w:hAnsiTheme="minorHAnsi" w:cs="Arial"/>
        </w:rPr>
        <w:t xml:space="preserve">wants to stress that for each individual consumer, an individual VoLL can be calculated. Splitting all consumers in a limited number of categories is already a </w:t>
      </w:r>
      <w:r w:rsidR="00FB1A43">
        <w:rPr>
          <w:rFonts w:asciiTheme="minorHAnsi" w:hAnsiTheme="minorHAnsi" w:cs="Arial"/>
        </w:rPr>
        <w:t>simplification</w:t>
      </w:r>
      <w:r w:rsidR="00DE265F">
        <w:rPr>
          <w:rFonts w:asciiTheme="minorHAnsi" w:hAnsiTheme="minorHAnsi" w:cs="Arial"/>
        </w:rPr>
        <w:t xml:space="preserve">, especially for industrial consumers where very different processes and operational arrangements lead to diverging VoLL even within this group, meaning that at points different from the “system VoLL” individual consumers will start to stop consuming, thus voluntarily </w:t>
      </w:r>
      <w:r w:rsidR="00FB1A43">
        <w:rPr>
          <w:rFonts w:asciiTheme="minorHAnsi" w:hAnsiTheme="minorHAnsi" w:cs="Arial"/>
        </w:rPr>
        <w:t>reducing the demand and in consequence the stress on the system. IFIEC Europe further also wants to stress that the impact of the duration</w:t>
      </w:r>
      <w:r w:rsidR="00FB1A43" w:rsidRPr="00FB1A43">
        <w:rPr>
          <w:rFonts w:asciiTheme="minorHAnsi" w:hAnsiTheme="minorHAnsi" w:cs="Arial"/>
        </w:rPr>
        <w:t xml:space="preserve"> </w:t>
      </w:r>
      <w:r w:rsidR="00FB1A43">
        <w:rPr>
          <w:rFonts w:asciiTheme="minorHAnsi" w:hAnsiTheme="minorHAnsi" w:cs="Arial"/>
        </w:rPr>
        <w:t xml:space="preserve">of inadequacy, most likely periods of occurrence of inadequacy and the pre-notification period for inadequacy will have a fundamental impact on the level of VoLL. An </w:t>
      </w:r>
      <w:r w:rsidR="00F825A4">
        <w:rPr>
          <w:rFonts w:asciiTheme="minorHAnsi" w:hAnsiTheme="minorHAnsi" w:cs="Arial"/>
        </w:rPr>
        <w:t>unexpected/unannounced incident will have a completely different implication than an expected/announced incident, where consumers will have the possibility to adapt their behaviour (e.g. orderly reduction of load)</w:t>
      </w:r>
      <w:r w:rsidR="00025E89">
        <w:rPr>
          <w:rFonts w:asciiTheme="minorHAnsi" w:hAnsiTheme="minorHAnsi" w:cs="Arial"/>
        </w:rPr>
        <w:t xml:space="preserve"> and thus reduce the impact/losses caused by such incident, as can also be seen in </w:t>
      </w:r>
      <w:proofErr w:type="spellStart"/>
      <w:r w:rsidR="00025E89">
        <w:rPr>
          <w:rFonts w:asciiTheme="minorHAnsi" w:hAnsiTheme="minorHAnsi" w:cs="Arial"/>
        </w:rPr>
        <w:t>a.o.</w:t>
      </w:r>
      <w:proofErr w:type="spellEnd"/>
      <w:r w:rsidR="00025E89">
        <w:rPr>
          <w:rFonts w:asciiTheme="minorHAnsi" w:hAnsiTheme="minorHAnsi" w:cs="Arial"/>
        </w:rPr>
        <w:t xml:space="preserve"> the ACER study of 2018</w:t>
      </w:r>
      <w:r w:rsidR="00F825A4">
        <w:rPr>
          <w:rFonts w:asciiTheme="minorHAnsi" w:hAnsiTheme="minorHAnsi" w:cs="Arial"/>
        </w:rPr>
        <w:t>.</w:t>
      </w:r>
      <w:r w:rsidR="00025E89">
        <w:rPr>
          <w:rFonts w:asciiTheme="minorHAnsi" w:hAnsiTheme="minorHAnsi" w:cs="Arial"/>
        </w:rPr>
        <w:t xml:space="preserve"> On the approach for the determination of VoLL for the domestic and tertiary</w:t>
      </w:r>
      <w:r w:rsidR="001313A4">
        <w:rPr>
          <w:rFonts w:asciiTheme="minorHAnsi" w:hAnsiTheme="minorHAnsi" w:cs="Arial"/>
        </w:rPr>
        <w:t xml:space="preserve"> sectors</w:t>
      </w:r>
      <w:r w:rsidR="00025E89">
        <w:rPr>
          <w:rFonts w:asciiTheme="minorHAnsi" w:hAnsiTheme="minorHAnsi" w:cs="Arial"/>
        </w:rPr>
        <w:t>, IFIEC Europe wants to stress that it is important to have a harmonised approach across the Union while also having questions on how surveys will provide the relevant and correct data from those types of consumers;</w:t>
      </w:r>
      <w:r w:rsidR="00F05948">
        <w:rPr>
          <w:rFonts w:asciiTheme="minorHAnsi" w:hAnsiTheme="minorHAnsi" w:cs="Arial"/>
        </w:rPr>
        <w:t xml:space="preserve"> the same applies for industrial consumers, where IFIEC Europe is wondering how these surveys will be conducted and how harmonization across the European Union will be obtained while still taking into account specificities of different industrial processes. With respect to the single VoLL estimate, IFIEC Europe would like to get more clarity on the methodology </w:t>
      </w:r>
      <w:r w:rsidR="00E746B0">
        <w:rPr>
          <w:rFonts w:asciiTheme="minorHAnsi" w:hAnsiTheme="minorHAnsi" w:cs="Arial"/>
        </w:rPr>
        <w:t>to determine “</w:t>
      </w:r>
      <w:r w:rsidR="00E746B0" w:rsidRPr="00E746B0">
        <w:rPr>
          <w:rFonts w:asciiTheme="minorHAnsi" w:hAnsiTheme="minorHAnsi" w:cs="Arial"/>
          <w:i/>
          <w:iCs/>
        </w:rPr>
        <w:t>the most likely cost of an adequacy outage, during which the different categories of consumers may be affected in different proportions</w:t>
      </w:r>
      <w:r w:rsidR="00E746B0">
        <w:rPr>
          <w:rFonts w:asciiTheme="minorHAnsi" w:hAnsiTheme="minorHAnsi" w:cs="Arial"/>
        </w:rPr>
        <w:t>”</w:t>
      </w:r>
      <w:r w:rsidR="0097389B">
        <w:rPr>
          <w:rFonts w:asciiTheme="minorHAnsi" w:hAnsiTheme="minorHAnsi" w:cs="Arial"/>
        </w:rPr>
        <w:t xml:space="preserve">. </w:t>
      </w:r>
      <w:r w:rsidR="000C1EC6">
        <w:rPr>
          <w:rFonts w:asciiTheme="minorHAnsi" w:hAnsiTheme="minorHAnsi" w:cs="Arial"/>
        </w:rPr>
        <w:t xml:space="preserve">In any case, </w:t>
      </w:r>
      <w:r w:rsidR="0097389B">
        <w:rPr>
          <w:rFonts w:asciiTheme="minorHAnsi" w:hAnsiTheme="minorHAnsi" w:cs="Arial"/>
        </w:rPr>
        <w:t xml:space="preserve">IFIEC Europe has some </w:t>
      </w:r>
      <w:r w:rsidR="0097389B" w:rsidRPr="000C1EC6">
        <w:rPr>
          <w:rFonts w:asciiTheme="minorHAnsi" w:hAnsiTheme="minorHAnsi" w:cs="Arial"/>
          <w:b/>
          <w:bCs/>
        </w:rPr>
        <w:t>fundamental issues</w:t>
      </w:r>
      <w:r w:rsidR="0097389B">
        <w:rPr>
          <w:rFonts w:asciiTheme="minorHAnsi" w:hAnsiTheme="minorHAnsi" w:cs="Arial"/>
        </w:rPr>
        <w:t xml:space="preserve"> with the proposal of ENTSO-e, as ENTSO-e </w:t>
      </w:r>
      <w:r w:rsidR="000C1EC6" w:rsidRPr="000C1EC6">
        <w:rPr>
          <w:rFonts w:asciiTheme="minorHAnsi" w:hAnsiTheme="minorHAnsi" w:cs="Arial"/>
          <w:i/>
          <w:iCs/>
        </w:rPr>
        <w:t>mentions</w:t>
      </w:r>
      <w:r w:rsidR="0097389B">
        <w:rPr>
          <w:rFonts w:asciiTheme="minorHAnsi" w:hAnsiTheme="minorHAnsi" w:cs="Arial"/>
        </w:rPr>
        <w:t xml:space="preserve"> VoLL</w:t>
      </w:r>
      <w:r w:rsidR="000C1EC6">
        <w:rPr>
          <w:rFonts w:asciiTheme="minorHAnsi" w:hAnsiTheme="minorHAnsi" w:cs="Arial"/>
        </w:rPr>
        <w:t xml:space="preserve"> throughout its methodology</w:t>
      </w:r>
      <w:r w:rsidR="0097389B">
        <w:rPr>
          <w:rFonts w:asciiTheme="minorHAnsi" w:hAnsiTheme="minorHAnsi" w:cs="Arial"/>
        </w:rPr>
        <w:t xml:space="preserve">, but does not take into account the </w:t>
      </w:r>
      <w:r w:rsidR="0097389B" w:rsidRPr="000C1EC6">
        <w:rPr>
          <w:rFonts w:asciiTheme="minorHAnsi" w:hAnsiTheme="minorHAnsi" w:cs="Arial"/>
          <w:i/>
          <w:iCs/>
        </w:rPr>
        <w:t>implications</w:t>
      </w:r>
      <w:r w:rsidR="0097389B">
        <w:rPr>
          <w:rFonts w:asciiTheme="minorHAnsi" w:hAnsiTheme="minorHAnsi" w:cs="Arial"/>
        </w:rPr>
        <w:t xml:space="preserve"> of the definition</w:t>
      </w:r>
      <w:r w:rsidR="00B609A2">
        <w:rPr>
          <w:rFonts w:asciiTheme="minorHAnsi" w:hAnsiTheme="minorHAnsi" w:cs="Arial"/>
        </w:rPr>
        <w:t>:</w:t>
      </w:r>
      <w:r w:rsidR="0097389B">
        <w:rPr>
          <w:rFonts w:asciiTheme="minorHAnsi" w:hAnsiTheme="minorHAnsi" w:cs="Arial"/>
        </w:rPr>
        <w:t xml:space="preserve"> under an approach with a (day-ahead) price cap that increases structural</w:t>
      </w:r>
      <w:r w:rsidR="001313A4">
        <w:rPr>
          <w:rFonts w:asciiTheme="minorHAnsi" w:hAnsiTheme="minorHAnsi" w:cs="Arial"/>
        </w:rPr>
        <w:t>ly</w:t>
      </w:r>
      <w:r w:rsidR="0097389B">
        <w:rPr>
          <w:rFonts w:asciiTheme="minorHAnsi" w:hAnsiTheme="minorHAnsi" w:cs="Arial"/>
        </w:rPr>
        <w:t xml:space="preserve"> and unidirectionally and without </w:t>
      </w:r>
      <w:r w:rsidR="00B609A2">
        <w:rPr>
          <w:rFonts w:asciiTheme="minorHAnsi" w:hAnsiTheme="minorHAnsi" w:cs="Arial"/>
        </w:rPr>
        <w:t>constraint</w:t>
      </w:r>
      <w:r w:rsidR="0097389B">
        <w:rPr>
          <w:rFonts w:asciiTheme="minorHAnsi" w:hAnsiTheme="minorHAnsi" w:cs="Arial"/>
        </w:rPr>
        <w:t xml:space="preserve"> </w:t>
      </w:r>
      <w:r w:rsidR="00B609A2">
        <w:rPr>
          <w:rFonts w:asciiTheme="minorHAnsi" w:hAnsiTheme="minorHAnsi" w:cs="Arial"/>
        </w:rPr>
        <w:t xml:space="preserve">in function of the price on the day-ahead market in combination with </w:t>
      </w:r>
      <w:r w:rsidR="0097389B">
        <w:rPr>
          <w:rFonts w:asciiTheme="minorHAnsi" w:hAnsiTheme="minorHAnsi" w:cs="Arial"/>
        </w:rPr>
        <w:t>certain threshold</w:t>
      </w:r>
      <w:r w:rsidR="00B609A2">
        <w:rPr>
          <w:rFonts w:asciiTheme="minorHAnsi" w:hAnsiTheme="minorHAnsi" w:cs="Arial"/>
        </w:rPr>
        <w:t xml:space="preserve">s, </w:t>
      </w:r>
      <w:r w:rsidR="0097389B">
        <w:rPr>
          <w:rFonts w:asciiTheme="minorHAnsi" w:hAnsiTheme="minorHAnsi" w:cs="Arial"/>
        </w:rPr>
        <w:t>in combination with VoLL as a value that determines when consumers voluntarily disconnect (</w:t>
      </w:r>
      <w:r w:rsidR="00B609A2">
        <w:rPr>
          <w:rFonts w:asciiTheme="minorHAnsi" w:hAnsiTheme="minorHAnsi" w:cs="Arial"/>
        </w:rPr>
        <w:t xml:space="preserve">with a </w:t>
      </w:r>
      <w:r w:rsidR="00B609A2">
        <w:rPr>
          <w:rFonts w:asciiTheme="minorHAnsi" w:hAnsiTheme="minorHAnsi" w:cs="Arial"/>
        </w:rPr>
        <w:lastRenderedPageBreak/>
        <w:t>different individual VoLL</w:t>
      </w:r>
      <w:r w:rsidR="0097389B">
        <w:rPr>
          <w:rFonts w:asciiTheme="minorHAnsi" w:hAnsiTheme="minorHAnsi" w:cs="Arial"/>
        </w:rPr>
        <w:t xml:space="preserve"> value for each consumer), it is clear that all consumers, insofar they have a smart meter and a dynamic price contract (both of which every consumer in Europe will get at some point, but where an increasing number, and in particular industrial consumers, already have these enablers for flexibility)</w:t>
      </w:r>
      <w:r w:rsidR="00B609A2">
        <w:rPr>
          <w:rFonts w:asciiTheme="minorHAnsi" w:hAnsiTheme="minorHAnsi" w:cs="Arial"/>
        </w:rPr>
        <w:t xml:space="preserve"> will all be (or become) </w:t>
      </w:r>
      <w:r w:rsidR="00C85CE3">
        <w:rPr>
          <w:rFonts w:asciiTheme="minorHAnsi" w:hAnsiTheme="minorHAnsi" w:cs="Arial"/>
        </w:rPr>
        <w:t>price</w:t>
      </w:r>
      <w:r w:rsidR="00B609A2">
        <w:rPr>
          <w:rFonts w:asciiTheme="minorHAnsi" w:hAnsiTheme="minorHAnsi" w:cs="Arial"/>
        </w:rPr>
        <w:t xml:space="preserve">-elastic. </w:t>
      </w:r>
      <w:r w:rsidR="00C85CE3">
        <w:rPr>
          <w:rFonts w:asciiTheme="minorHAnsi" w:hAnsiTheme="minorHAnsi" w:cs="Arial"/>
        </w:rPr>
        <w:t>Indeed</w:t>
      </w:r>
      <w:r w:rsidR="00B609A2">
        <w:rPr>
          <w:rFonts w:asciiTheme="minorHAnsi" w:hAnsiTheme="minorHAnsi" w:cs="Arial"/>
        </w:rPr>
        <w:t xml:space="preserve">, if and when prices in the day-ahead market would rise because of more system stress, as soon as the VoLL of each individual </w:t>
      </w:r>
      <w:r w:rsidR="00C85CE3">
        <w:rPr>
          <w:rFonts w:asciiTheme="minorHAnsi" w:hAnsiTheme="minorHAnsi" w:cs="Arial"/>
        </w:rPr>
        <w:t>consumers</w:t>
      </w:r>
      <w:r w:rsidR="00B609A2">
        <w:rPr>
          <w:rFonts w:asciiTheme="minorHAnsi" w:hAnsiTheme="minorHAnsi" w:cs="Arial"/>
        </w:rPr>
        <w:t xml:space="preserve"> (with a smart meter and an exposure to the market price) is reached, that consumer will voluntarily disconnect, thus alleviating the demand on the system and in the end allowing supply and demand to balance. In other words, market </w:t>
      </w:r>
      <w:r w:rsidR="00C85CE3">
        <w:rPr>
          <w:rFonts w:asciiTheme="minorHAnsi" w:hAnsiTheme="minorHAnsi" w:cs="Arial"/>
        </w:rPr>
        <w:t>functioning</w:t>
      </w:r>
      <w:r w:rsidR="00B609A2">
        <w:rPr>
          <w:rFonts w:asciiTheme="minorHAnsi" w:hAnsiTheme="minorHAnsi" w:cs="Arial"/>
        </w:rPr>
        <w:t xml:space="preserve">, based on prices, will ensure that markets balance, no adequacy concerns exist with </w:t>
      </w:r>
      <w:r w:rsidR="00C85CE3">
        <w:rPr>
          <w:rFonts w:asciiTheme="minorHAnsi" w:hAnsiTheme="minorHAnsi" w:cs="Arial"/>
        </w:rPr>
        <w:t>involuntary</w:t>
      </w:r>
      <w:r w:rsidR="00B609A2">
        <w:rPr>
          <w:rFonts w:asciiTheme="minorHAnsi" w:hAnsiTheme="minorHAnsi" w:cs="Arial"/>
        </w:rPr>
        <w:t xml:space="preserve"> </w:t>
      </w:r>
      <w:r w:rsidR="00C85CE3">
        <w:rPr>
          <w:rFonts w:asciiTheme="minorHAnsi" w:hAnsiTheme="minorHAnsi" w:cs="Arial"/>
        </w:rPr>
        <w:t>disconnection</w:t>
      </w:r>
      <w:r w:rsidR="00B609A2">
        <w:rPr>
          <w:rFonts w:asciiTheme="minorHAnsi" w:hAnsiTheme="minorHAnsi" w:cs="Arial"/>
        </w:rPr>
        <w:t xml:space="preserve"> while also delivering the price signal for investors. The </w:t>
      </w:r>
      <w:r w:rsidR="00102582">
        <w:rPr>
          <w:rFonts w:asciiTheme="minorHAnsi" w:hAnsiTheme="minorHAnsi" w:cs="Arial"/>
        </w:rPr>
        <w:t xml:space="preserve">difference with the system currently in place is the fact that as of recent, price caps in the day-ahead market will not be static, allowing them to increase and thus start rising above levels where </w:t>
      </w:r>
      <w:r w:rsidR="00C85CE3">
        <w:rPr>
          <w:rFonts w:asciiTheme="minorHAnsi" w:hAnsiTheme="minorHAnsi" w:cs="Arial"/>
        </w:rPr>
        <w:t>consumers</w:t>
      </w:r>
      <w:r w:rsidR="00102582">
        <w:rPr>
          <w:rFonts w:asciiTheme="minorHAnsi" w:hAnsiTheme="minorHAnsi" w:cs="Arial"/>
        </w:rPr>
        <w:t xml:space="preserve"> voluntarily disconnect themselves (as their VoLL is reached) </w:t>
      </w:r>
      <w:r w:rsidR="00CB5977">
        <w:rPr>
          <w:rFonts w:asciiTheme="minorHAnsi" w:hAnsiTheme="minorHAnsi" w:cs="Arial"/>
        </w:rPr>
        <w:t xml:space="preserve">while also an ever-increasing part of consumers, also residential </w:t>
      </w:r>
      <w:r w:rsidR="00C85CE3">
        <w:rPr>
          <w:rFonts w:asciiTheme="minorHAnsi" w:hAnsiTheme="minorHAnsi" w:cs="Arial"/>
        </w:rPr>
        <w:t>consumers</w:t>
      </w:r>
      <w:r w:rsidR="00CB5977">
        <w:rPr>
          <w:rFonts w:asciiTheme="minorHAnsi" w:hAnsiTheme="minorHAnsi" w:cs="Arial"/>
        </w:rPr>
        <w:t xml:space="preserve">, will start to be exposed to price signals and allowed to react to them (directly or via aggregators, via their suppliers or through transfer of energy solutions). </w:t>
      </w:r>
      <w:r w:rsidR="002F43C3">
        <w:rPr>
          <w:rFonts w:asciiTheme="minorHAnsi" w:hAnsiTheme="minorHAnsi" w:cs="Arial"/>
        </w:rPr>
        <w:t xml:space="preserve">This will give significant additional opportunities to balancing responsible parties to balance their portfolios. </w:t>
      </w:r>
      <w:r w:rsidR="00CB5977">
        <w:rPr>
          <w:rFonts w:asciiTheme="minorHAnsi" w:hAnsiTheme="minorHAnsi" w:cs="Arial"/>
        </w:rPr>
        <w:t xml:space="preserve">IFIEC Europe strongly believes that the work done by the </w:t>
      </w:r>
      <w:r w:rsidR="00C85CE3">
        <w:rPr>
          <w:rFonts w:asciiTheme="minorHAnsi" w:hAnsiTheme="minorHAnsi" w:cs="Arial"/>
        </w:rPr>
        <w:t>European</w:t>
      </w:r>
      <w:r w:rsidR="00CB5977">
        <w:rPr>
          <w:rFonts w:asciiTheme="minorHAnsi" w:hAnsiTheme="minorHAnsi" w:cs="Arial"/>
        </w:rPr>
        <w:t xml:space="preserve"> </w:t>
      </w:r>
      <w:r w:rsidR="00C85CE3">
        <w:rPr>
          <w:rFonts w:asciiTheme="minorHAnsi" w:hAnsiTheme="minorHAnsi" w:cs="Arial"/>
        </w:rPr>
        <w:t>Commission</w:t>
      </w:r>
      <w:r w:rsidR="00CB5977">
        <w:rPr>
          <w:rFonts w:asciiTheme="minorHAnsi" w:hAnsiTheme="minorHAnsi" w:cs="Arial"/>
        </w:rPr>
        <w:t xml:space="preserve"> in the framework of the Clean Energy Package, once fully </w:t>
      </w:r>
      <w:r w:rsidR="00C85CE3">
        <w:rPr>
          <w:rFonts w:asciiTheme="minorHAnsi" w:hAnsiTheme="minorHAnsi" w:cs="Arial"/>
        </w:rPr>
        <w:t>implemented</w:t>
      </w:r>
      <w:r w:rsidR="00CB5977">
        <w:rPr>
          <w:rFonts w:asciiTheme="minorHAnsi" w:hAnsiTheme="minorHAnsi" w:cs="Arial"/>
        </w:rPr>
        <w:t xml:space="preserve">, will ensure that system </w:t>
      </w:r>
      <w:r w:rsidR="00C85CE3">
        <w:rPr>
          <w:rFonts w:asciiTheme="minorHAnsi" w:hAnsiTheme="minorHAnsi" w:cs="Arial"/>
        </w:rPr>
        <w:t>adequacy</w:t>
      </w:r>
      <w:r w:rsidR="00CB5977">
        <w:rPr>
          <w:rFonts w:asciiTheme="minorHAnsi" w:hAnsiTheme="minorHAnsi" w:cs="Arial"/>
        </w:rPr>
        <w:t xml:space="preserve"> will be maintained (not taking into account technical incidents) while providing all the necessary investments signals to the markets.</w:t>
      </w:r>
    </w:p>
    <w:p w14:paraId="4AB78DCB" w14:textId="7EC77FB5" w:rsidR="00F67B1D" w:rsidRDefault="00F67B1D" w:rsidP="00F62B02">
      <w:pPr>
        <w:overflowPunct/>
        <w:autoSpaceDE/>
        <w:autoSpaceDN/>
        <w:adjustRightInd/>
        <w:jc w:val="both"/>
        <w:textAlignment w:val="auto"/>
        <w:rPr>
          <w:rFonts w:asciiTheme="minorHAnsi" w:hAnsiTheme="minorHAnsi" w:cs="Arial"/>
        </w:rPr>
      </w:pPr>
    </w:p>
    <w:p w14:paraId="467B3039" w14:textId="16305E9E" w:rsidR="00F67B1D" w:rsidRDefault="00F67B1D" w:rsidP="00F62B02">
      <w:pPr>
        <w:overflowPunct/>
        <w:autoSpaceDE/>
        <w:autoSpaceDN/>
        <w:adjustRightInd/>
        <w:jc w:val="both"/>
        <w:textAlignment w:val="auto"/>
        <w:rPr>
          <w:rFonts w:asciiTheme="minorHAnsi" w:hAnsiTheme="minorHAnsi" w:cs="Arial"/>
        </w:rPr>
      </w:pPr>
      <w:r>
        <w:rPr>
          <w:rFonts w:asciiTheme="minorHAnsi" w:hAnsiTheme="minorHAnsi" w:cs="Arial"/>
        </w:rPr>
        <w:t>On the Cost of New Entry (CONE), IFIEC Europe has at this point no direct comments, as based on the content of this methodology it is unclear how</w:t>
      </w:r>
      <w:r w:rsidR="00254FFB">
        <w:rPr>
          <w:rFonts w:asciiTheme="minorHAnsi" w:hAnsiTheme="minorHAnsi" w:cs="Arial"/>
        </w:rPr>
        <w:t xml:space="preserve"> the reference technologies will be determined nor how</w:t>
      </w:r>
      <w:r>
        <w:rPr>
          <w:rFonts w:asciiTheme="minorHAnsi" w:hAnsiTheme="minorHAnsi" w:cs="Arial"/>
        </w:rPr>
        <w:t xml:space="preserve"> the </w:t>
      </w:r>
      <w:r w:rsidR="00254FFB">
        <w:rPr>
          <w:rFonts w:asciiTheme="minorHAnsi" w:hAnsiTheme="minorHAnsi" w:cs="Arial"/>
        </w:rPr>
        <w:t>“</w:t>
      </w:r>
      <w:r w:rsidRPr="00254FFB">
        <w:rPr>
          <w:rFonts w:asciiTheme="minorHAnsi" w:hAnsiTheme="minorHAnsi" w:cs="Arial"/>
          <w:i/>
          <w:iCs/>
        </w:rPr>
        <w:t xml:space="preserve">most likely </w:t>
      </w:r>
      <w:r w:rsidR="00254FFB" w:rsidRPr="00254FFB">
        <w:rPr>
          <w:rFonts w:asciiTheme="minorHAnsi" w:hAnsiTheme="minorHAnsi" w:cs="Arial"/>
          <w:i/>
          <w:iCs/>
        </w:rPr>
        <w:t>choices that developers will make</w:t>
      </w:r>
      <w:r w:rsidR="00254FFB">
        <w:rPr>
          <w:rFonts w:asciiTheme="minorHAnsi" w:hAnsiTheme="minorHAnsi" w:cs="Arial"/>
        </w:rPr>
        <w:t xml:space="preserve">” will be </w:t>
      </w:r>
      <w:r w:rsidR="00624AF2">
        <w:rPr>
          <w:rFonts w:asciiTheme="minorHAnsi" w:hAnsiTheme="minorHAnsi" w:cs="Arial"/>
        </w:rPr>
        <w:t>determined. IFIEC Europe thus wants ENTSO-e to elaborate further on this point. More in general, this comment is valid for the entire methodology, as it is merely 20 pages long and does not provide any concrete insight in how all the different aspects will be treated.</w:t>
      </w:r>
    </w:p>
    <w:p w14:paraId="58AA8AEB" w14:textId="21A04A11" w:rsidR="00384A56" w:rsidRDefault="00384A56" w:rsidP="00F62B02">
      <w:pPr>
        <w:overflowPunct/>
        <w:autoSpaceDE/>
        <w:autoSpaceDN/>
        <w:adjustRightInd/>
        <w:jc w:val="both"/>
        <w:textAlignment w:val="auto"/>
        <w:rPr>
          <w:rFonts w:asciiTheme="minorHAnsi" w:hAnsiTheme="minorHAnsi" w:cs="Arial"/>
        </w:rPr>
      </w:pPr>
    </w:p>
    <w:p w14:paraId="1D4628D9" w14:textId="22B55D8F" w:rsidR="00384A56" w:rsidRDefault="00384A56" w:rsidP="00F62B02">
      <w:pPr>
        <w:overflowPunct/>
        <w:autoSpaceDE/>
        <w:autoSpaceDN/>
        <w:adjustRightInd/>
        <w:jc w:val="both"/>
        <w:textAlignment w:val="auto"/>
        <w:rPr>
          <w:rFonts w:asciiTheme="minorHAnsi" w:hAnsiTheme="minorHAnsi" w:cs="Arial"/>
        </w:rPr>
      </w:pPr>
      <w:r>
        <w:rPr>
          <w:rFonts w:asciiTheme="minorHAnsi" w:hAnsiTheme="minorHAnsi" w:cs="Arial"/>
        </w:rPr>
        <w:t xml:space="preserve">On the de-rated capacity, IFEC Europe understands that a certain level of de-rating is needed, but wants to stress that this should not lead to a situation where an unduly high volume of flexibility is de-rated and thus a non-existing inadequacy issue introduced in the calculation. This also strongly links to the aforementioned fundamental issue that IFIEC Europe has with the proposed methodology under a system with a rising price cap and the application of VoLL. </w:t>
      </w:r>
      <w:r w:rsidR="00716B6C">
        <w:rPr>
          <w:rFonts w:asciiTheme="minorHAnsi" w:hAnsiTheme="minorHAnsi" w:cs="Arial"/>
        </w:rPr>
        <w:t>Moreover, IFIEC Europe also has an issue with §3 of article 12, as this leads to a circular reasoning, where one can decide (not calculate) where the outcome should be, as inputs will be adapted based on outputs until a certain (pre-defined?) value is reached?</w:t>
      </w:r>
    </w:p>
    <w:p w14:paraId="22D30600" w14:textId="1499F9AE" w:rsidR="00716B6C" w:rsidRDefault="00716B6C" w:rsidP="00F62B02">
      <w:pPr>
        <w:overflowPunct/>
        <w:autoSpaceDE/>
        <w:autoSpaceDN/>
        <w:adjustRightInd/>
        <w:jc w:val="both"/>
        <w:textAlignment w:val="auto"/>
        <w:rPr>
          <w:rFonts w:asciiTheme="minorHAnsi" w:hAnsiTheme="minorHAnsi" w:cs="Arial"/>
        </w:rPr>
      </w:pPr>
    </w:p>
    <w:p w14:paraId="720C4D38" w14:textId="19B1E174" w:rsidR="00716B6C" w:rsidRDefault="00716B6C" w:rsidP="00F62B02">
      <w:pPr>
        <w:overflowPunct/>
        <w:autoSpaceDE/>
        <w:autoSpaceDN/>
        <w:adjustRightInd/>
        <w:jc w:val="both"/>
        <w:textAlignment w:val="auto"/>
        <w:rPr>
          <w:rFonts w:asciiTheme="minorHAnsi" w:hAnsiTheme="minorHAnsi" w:cs="Arial"/>
        </w:rPr>
      </w:pPr>
      <w:r>
        <w:rPr>
          <w:rFonts w:asciiTheme="minorHAnsi" w:hAnsiTheme="minorHAnsi" w:cs="Arial"/>
        </w:rPr>
        <w:t xml:space="preserve">On the reliability standard determination, IFIEC Europe takes note of the proposed formula, but wants to stress that </w:t>
      </w:r>
      <w:proofErr w:type="spellStart"/>
      <w:r>
        <w:rPr>
          <w:rFonts w:asciiTheme="minorHAnsi" w:hAnsiTheme="minorHAnsi" w:cs="Arial"/>
        </w:rPr>
        <w:t>LOLE</w:t>
      </w:r>
      <w:r w:rsidRPr="00716B6C">
        <w:rPr>
          <w:rFonts w:asciiTheme="minorHAnsi" w:hAnsiTheme="minorHAnsi" w:cs="Arial"/>
          <w:vertAlign w:val="subscript"/>
        </w:rPr>
        <w:t>target</w:t>
      </w:r>
      <w:proofErr w:type="spellEnd"/>
      <w:r>
        <w:rPr>
          <w:rFonts w:asciiTheme="minorHAnsi" w:hAnsiTheme="minorHAnsi" w:cs="Arial"/>
        </w:rPr>
        <w:t xml:space="preserve"> = CONE/VoLL should take into account not the single or average VoLL of the system, but must take into account the </w:t>
      </w:r>
      <w:r w:rsidR="007E309C">
        <w:rPr>
          <w:rFonts w:asciiTheme="minorHAnsi" w:hAnsiTheme="minorHAnsi" w:cs="Arial"/>
        </w:rPr>
        <w:t>actual</w:t>
      </w:r>
      <w:r>
        <w:rPr>
          <w:rFonts w:asciiTheme="minorHAnsi" w:hAnsiTheme="minorHAnsi" w:cs="Arial"/>
        </w:rPr>
        <w:t xml:space="preserve"> </w:t>
      </w:r>
      <w:r w:rsidR="007E309C">
        <w:rPr>
          <w:rFonts w:asciiTheme="minorHAnsi" w:hAnsiTheme="minorHAnsi" w:cs="Arial"/>
        </w:rPr>
        <w:t xml:space="preserve">individual </w:t>
      </w:r>
      <w:r>
        <w:rPr>
          <w:rFonts w:asciiTheme="minorHAnsi" w:hAnsiTheme="minorHAnsi" w:cs="Arial"/>
        </w:rPr>
        <w:t xml:space="preserve">VoLL that will make </w:t>
      </w:r>
      <w:r w:rsidR="007E309C">
        <w:rPr>
          <w:rFonts w:asciiTheme="minorHAnsi" w:hAnsiTheme="minorHAnsi" w:cs="Arial"/>
        </w:rPr>
        <w:t>consumers (categories)</w:t>
      </w:r>
      <w:r>
        <w:rPr>
          <w:rFonts w:asciiTheme="minorHAnsi" w:hAnsiTheme="minorHAnsi" w:cs="Arial"/>
        </w:rPr>
        <w:t xml:space="preserve"> voluntarily stop consuming. Indeed, as soon as the VoLL of consumers is </w:t>
      </w:r>
      <w:r w:rsidR="007E309C">
        <w:rPr>
          <w:rFonts w:asciiTheme="minorHAnsi" w:hAnsiTheme="minorHAnsi" w:cs="Arial"/>
        </w:rPr>
        <w:t>reached</w:t>
      </w:r>
      <w:r>
        <w:rPr>
          <w:rFonts w:asciiTheme="minorHAnsi" w:hAnsiTheme="minorHAnsi" w:cs="Arial"/>
        </w:rPr>
        <w:t xml:space="preserve">, they will </w:t>
      </w:r>
      <w:r w:rsidR="002F43C3">
        <w:rPr>
          <w:rFonts w:asciiTheme="minorHAnsi" w:hAnsiTheme="minorHAnsi" w:cs="Arial"/>
        </w:rPr>
        <w:t xml:space="preserve">stop their offtake </w:t>
      </w:r>
      <w:r>
        <w:rPr>
          <w:rFonts w:asciiTheme="minorHAnsi" w:hAnsiTheme="minorHAnsi" w:cs="Arial"/>
        </w:rPr>
        <w:t xml:space="preserve">and alleviate the adequacy concern. Thus, taking into account </w:t>
      </w:r>
      <w:r w:rsidR="007E309C">
        <w:rPr>
          <w:rFonts w:asciiTheme="minorHAnsi" w:hAnsiTheme="minorHAnsi" w:cs="Arial"/>
        </w:rPr>
        <w:t xml:space="preserve">only </w:t>
      </w:r>
      <w:r>
        <w:rPr>
          <w:rFonts w:asciiTheme="minorHAnsi" w:hAnsiTheme="minorHAnsi" w:cs="Arial"/>
        </w:rPr>
        <w:t xml:space="preserve">a </w:t>
      </w:r>
      <w:r w:rsidR="007E309C">
        <w:rPr>
          <w:rFonts w:asciiTheme="minorHAnsi" w:hAnsiTheme="minorHAnsi" w:cs="Arial"/>
        </w:rPr>
        <w:t>single</w:t>
      </w:r>
      <w:r>
        <w:rPr>
          <w:rFonts w:asciiTheme="minorHAnsi" w:hAnsiTheme="minorHAnsi" w:cs="Arial"/>
        </w:rPr>
        <w:t>/average VoLL that might be significantly higher than that of the first consumers (</w:t>
      </w:r>
      <w:r w:rsidR="007E309C">
        <w:rPr>
          <w:rFonts w:asciiTheme="minorHAnsi" w:hAnsiTheme="minorHAnsi" w:cs="Arial"/>
        </w:rPr>
        <w:t>categories</w:t>
      </w:r>
      <w:r>
        <w:rPr>
          <w:rFonts w:asciiTheme="minorHAnsi" w:hAnsiTheme="minorHAnsi" w:cs="Arial"/>
        </w:rPr>
        <w:t xml:space="preserve">) to disconnect would lead to an unrealistic value of </w:t>
      </w:r>
      <w:proofErr w:type="spellStart"/>
      <w:r>
        <w:rPr>
          <w:rFonts w:asciiTheme="minorHAnsi" w:hAnsiTheme="minorHAnsi" w:cs="Arial"/>
        </w:rPr>
        <w:t>LOLE</w:t>
      </w:r>
      <w:r w:rsidRPr="007E309C">
        <w:rPr>
          <w:rFonts w:asciiTheme="minorHAnsi" w:hAnsiTheme="minorHAnsi" w:cs="Arial"/>
          <w:vertAlign w:val="subscript"/>
        </w:rPr>
        <w:t>target</w:t>
      </w:r>
      <w:proofErr w:type="spellEnd"/>
      <w:r w:rsidR="007E309C">
        <w:rPr>
          <w:rFonts w:asciiTheme="minorHAnsi" w:hAnsiTheme="minorHAnsi" w:cs="Arial"/>
        </w:rPr>
        <w:t xml:space="preserve"> and thus lead to an unnecessarily more stringent reliability standard than is actually warranted by the real system and in the end potentially to unnecessary (but costly) measures. </w:t>
      </w:r>
      <w:r w:rsidR="00A56825">
        <w:rPr>
          <w:rFonts w:asciiTheme="minorHAnsi" w:hAnsiTheme="minorHAnsi" w:cs="Arial"/>
        </w:rPr>
        <w:t xml:space="preserve">For IFIEC Europe, this is also an essential element and fundamental flaw of the proposed methodology if not addressed. </w:t>
      </w:r>
      <w:bookmarkEnd w:id="0"/>
    </w:p>
    <w:sectPr w:rsidR="00716B6C" w:rsidSect="001973EC">
      <w:headerReference w:type="default" r:id="rId8"/>
      <w:footerReference w:type="default" r:id="rId9"/>
      <w:headerReference w:type="first" r:id="rId10"/>
      <w:footerReference w:type="first" r:id="rId11"/>
      <w:pgSz w:w="11909" w:h="16834" w:code="9"/>
      <w:pgMar w:top="1802" w:right="1136" w:bottom="851" w:left="1134" w:header="142" w:footer="193"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3AEB29" w14:textId="77777777" w:rsidR="00E02C33" w:rsidRDefault="00E02C33">
      <w:r>
        <w:separator/>
      </w:r>
    </w:p>
  </w:endnote>
  <w:endnote w:type="continuationSeparator" w:id="0">
    <w:p w14:paraId="05006169" w14:textId="77777777" w:rsidR="00E02C33" w:rsidRDefault="00E02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FC78" w14:textId="77777777" w:rsidR="00B71A50" w:rsidRDefault="00B71A50" w:rsidP="00B71A50">
    <w:pPr>
      <w:pStyle w:val="Footer"/>
      <w:ind w:left="-567"/>
      <w:rPr>
        <w:rFonts w:ascii="Arial" w:hAnsi="Arial" w:cs="Arial"/>
        <w:color w:val="7F7F7F" w:themeColor="text1" w:themeTint="80"/>
        <w:sz w:val="16"/>
        <w:szCs w:val="16"/>
      </w:rPr>
    </w:pPr>
  </w:p>
  <w:p w14:paraId="108CFC79" w14:textId="77777777" w:rsidR="00016F4A" w:rsidRPr="00016F4A" w:rsidRDefault="00016F4A" w:rsidP="00016F4A">
    <w:pPr>
      <w:pStyle w:val="Footer"/>
      <w:ind w:left="-567"/>
      <w:jc w:val="center"/>
      <w:rPr>
        <w:rFonts w:ascii="Arial" w:hAnsi="Arial" w:cs="Arial"/>
        <w:color w:val="7F7F7F" w:themeColor="text1" w:themeTint="80"/>
        <w:sz w:val="16"/>
        <w:szCs w:val="16"/>
      </w:rPr>
    </w:pPr>
    <w:r w:rsidRPr="00016F4A">
      <w:rPr>
        <w:rFonts w:ascii="Arial" w:hAnsi="Arial" w:cs="Arial"/>
        <w:color w:val="7F7F7F" w:themeColor="text1" w:themeTint="80"/>
        <w:sz w:val="16"/>
        <w:szCs w:val="16"/>
      </w:rPr>
      <w:t xml:space="preserve">FEBELIEC </w:t>
    </w:r>
    <w:proofErr w:type="spellStart"/>
    <w:r w:rsidRPr="00016F4A">
      <w:rPr>
        <w:rFonts w:ascii="Arial" w:hAnsi="Arial" w:cs="Arial"/>
        <w:color w:val="7F7F7F" w:themeColor="text1" w:themeTint="80"/>
        <w:sz w:val="16"/>
        <w:szCs w:val="16"/>
      </w:rPr>
      <w:t>vzw</w:t>
    </w:r>
    <w:proofErr w:type="spellEnd"/>
    <w:r w:rsidRPr="00016F4A">
      <w:rPr>
        <w:rFonts w:ascii="Arial" w:hAnsi="Arial" w:cs="Arial"/>
        <w:color w:val="7F7F7F" w:themeColor="text1" w:themeTint="80"/>
        <w:sz w:val="16"/>
        <w:szCs w:val="16"/>
      </w:rPr>
      <w:t>/</w:t>
    </w:r>
    <w:proofErr w:type="spellStart"/>
    <w:r w:rsidRPr="00016F4A">
      <w:rPr>
        <w:rFonts w:ascii="Arial" w:hAnsi="Arial" w:cs="Arial"/>
        <w:color w:val="7F7F7F" w:themeColor="text1" w:themeTint="80"/>
        <w:sz w:val="16"/>
        <w:szCs w:val="16"/>
      </w:rPr>
      <w:t>asbl</w:t>
    </w:r>
    <w:proofErr w:type="spellEnd"/>
  </w:p>
  <w:p w14:paraId="108CFC7A" w14:textId="77777777" w:rsidR="00016F4A" w:rsidRPr="00016F4A" w:rsidRDefault="00912518" w:rsidP="00016F4A">
    <w:pPr>
      <w:pStyle w:val="Footer"/>
      <w:ind w:left="-567"/>
      <w:jc w:val="center"/>
      <w:rPr>
        <w:rFonts w:ascii="Arial" w:hAnsi="Arial" w:cs="Arial"/>
        <w:color w:val="7F7F7F" w:themeColor="text1" w:themeTint="80"/>
        <w:sz w:val="16"/>
        <w:szCs w:val="16"/>
      </w:rPr>
    </w:pPr>
    <w:r>
      <w:rPr>
        <w:rFonts w:ascii="Arial" w:hAnsi="Arial" w:cs="Arial"/>
        <w:color w:val="7F7F7F" w:themeColor="text1" w:themeTint="80"/>
        <w:sz w:val="16"/>
        <w:szCs w:val="16"/>
      </w:rPr>
      <w:t>BluePoint Brussels</w:t>
    </w:r>
    <w:r w:rsidR="00016F4A" w:rsidRPr="00016F4A">
      <w:rPr>
        <w:rFonts w:ascii="Arial" w:hAnsi="Arial" w:cs="Arial"/>
        <w:color w:val="7F7F7F" w:themeColor="text1" w:themeTint="80"/>
        <w:sz w:val="16"/>
        <w:szCs w:val="16"/>
      </w:rPr>
      <w:t xml:space="preserve">, Bld. A. </w:t>
    </w:r>
    <w:proofErr w:type="spellStart"/>
    <w:r w:rsidR="00016F4A" w:rsidRPr="00016F4A">
      <w:rPr>
        <w:rFonts w:ascii="Arial" w:hAnsi="Arial" w:cs="Arial"/>
        <w:color w:val="7F7F7F" w:themeColor="text1" w:themeTint="80"/>
        <w:sz w:val="16"/>
        <w:szCs w:val="16"/>
      </w:rPr>
      <w:t>Reyerslaan</w:t>
    </w:r>
    <w:proofErr w:type="spellEnd"/>
    <w:r w:rsidR="00016F4A" w:rsidRPr="00016F4A">
      <w:rPr>
        <w:rFonts w:ascii="Arial" w:hAnsi="Arial" w:cs="Arial"/>
        <w:color w:val="7F7F7F" w:themeColor="text1" w:themeTint="80"/>
        <w:sz w:val="16"/>
        <w:szCs w:val="16"/>
      </w:rPr>
      <w:t xml:space="preserve"> 80, 1030 – Brussel/</w:t>
    </w:r>
    <w:proofErr w:type="spellStart"/>
    <w:r w:rsidR="00016F4A" w:rsidRPr="00016F4A">
      <w:rPr>
        <w:rFonts w:ascii="Arial" w:hAnsi="Arial" w:cs="Arial"/>
        <w:color w:val="7F7F7F" w:themeColor="text1" w:themeTint="80"/>
        <w:sz w:val="16"/>
        <w:szCs w:val="16"/>
      </w:rPr>
      <w:t>Bruxelles</w:t>
    </w:r>
    <w:proofErr w:type="spellEnd"/>
  </w:p>
  <w:p w14:paraId="108CFC7B" w14:textId="77777777" w:rsidR="00016F4A" w:rsidRPr="00D70296" w:rsidRDefault="00016F4A" w:rsidP="00016F4A">
    <w:pPr>
      <w:pStyle w:val="Footer"/>
      <w:ind w:left="-567"/>
      <w:jc w:val="center"/>
      <w:rPr>
        <w:rFonts w:ascii="Arial" w:hAnsi="Arial" w:cs="Arial"/>
        <w:color w:val="7F7F7F" w:themeColor="text1" w:themeTint="80"/>
        <w:sz w:val="16"/>
        <w:szCs w:val="16"/>
        <w:lang w:val="en-US"/>
      </w:rPr>
    </w:pPr>
    <w:r w:rsidRPr="00D70296">
      <w:rPr>
        <w:rFonts w:ascii="Arial" w:hAnsi="Arial" w:cs="Arial"/>
        <w:color w:val="7F7F7F" w:themeColor="text1" w:themeTint="80"/>
        <w:sz w:val="16"/>
        <w:szCs w:val="16"/>
        <w:lang w:val="en-US"/>
      </w:rPr>
      <w:t xml:space="preserve">Tel: +32 (0)496 59 36 20, e-mail: </w:t>
    </w:r>
    <w:hyperlink r:id="rId1" w:history="1">
      <w:r w:rsidR="00C50A7A">
        <w:rPr>
          <w:rStyle w:val="Hyperlink"/>
          <w:rFonts w:ascii="Arial" w:hAnsi="Arial" w:cs="Arial"/>
          <w:color w:val="7F7F7F" w:themeColor="text1" w:themeTint="80"/>
          <w:sz w:val="16"/>
          <w:szCs w:val="16"/>
          <w:lang w:val="en-US"/>
        </w:rPr>
        <w:t>febeliec</w:t>
      </w:r>
      <w:r w:rsidRPr="00D70296">
        <w:rPr>
          <w:rStyle w:val="Hyperlink"/>
          <w:rFonts w:ascii="Arial" w:hAnsi="Arial" w:cs="Arial"/>
          <w:color w:val="7F7F7F" w:themeColor="text1" w:themeTint="80"/>
          <w:sz w:val="16"/>
          <w:szCs w:val="16"/>
          <w:lang w:val="en-US"/>
        </w:rPr>
        <w:t>@febeliec.be</w:t>
      </w:r>
    </w:hyperlink>
    <w:r w:rsidRPr="00D70296">
      <w:rPr>
        <w:color w:val="7F7F7F" w:themeColor="text1" w:themeTint="80"/>
        <w:lang w:val="en-US"/>
      </w:rPr>
      <w:t xml:space="preserve">, </w:t>
    </w:r>
    <w:hyperlink r:id="rId2" w:history="1">
      <w:r w:rsidRPr="00D70296">
        <w:rPr>
          <w:rStyle w:val="Hyperlink"/>
          <w:rFonts w:ascii="Arial" w:hAnsi="Arial" w:cs="Arial"/>
          <w:color w:val="7F7F7F" w:themeColor="text1" w:themeTint="80"/>
          <w:sz w:val="16"/>
          <w:szCs w:val="16"/>
          <w:lang w:val="en-US"/>
        </w:rPr>
        <w:t>www.febeliec.be</w:t>
      </w:r>
    </w:hyperlink>
  </w:p>
  <w:p w14:paraId="108CFC7C" w14:textId="77777777" w:rsidR="00016F4A" w:rsidRPr="00016F4A" w:rsidRDefault="00016F4A" w:rsidP="00016F4A">
    <w:pPr>
      <w:pStyle w:val="Footer"/>
      <w:ind w:left="-567"/>
      <w:jc w:val="center"/>
      <w:rPr>
        <w:rFonts w:ascii="Arial" w:hAnsi="Arial" w:cs="Arial"/>
        <w:color w:val="7F7F7F" w:themeColor="text1" w:themeTint="80"/>
        <w:sz w:val="16"/>
        <w:szCs w:val="16"/>
      </w:rPr>
    </w:pPr>
    <w:r w:rsidRPr="00016F4A">
      <w:rPr>
        <w:rFonts w:ascii="Arial" w:hAnsi="Arial" w:cs="Arial"/>
        <w:color w:val="7F7F7F" w:themeColor="text1" w:themeTint="80"/>
        <w:sz w:val="16"/>
        <w:szCs w:val="16"/>
        <w:lang w:val="en-US"/>
      </w:rPr>
      <w:t xml:space="preserve">TVA/BTW BE 0439 877 578 </w:t>
    </w:r>
    <w:r w:rsidR="00DA0B2D">
      <w:rPr>
        <w:rFonts w:ascii="Arial" w:hAnsi="Arial" w:cs="Arial"/>
        <w:noProof/>
        <w:color w:val="7F7F7F" w:themeColor="text1" w:themeTint="80"/>
        <w:sz w:val="16"/>
        <w:szCs w:val="16"/>
        <w:lang w:eastAsia="en-GB"/>
      </w:rPr>
      <mc:AlternateContent>
        <mc:Choice Requires="wps">
          <w:drawing>
            <wp:anchor distT="0" distB="0" distL="114300" distR="114300" simplePos="0" relativeHeight="251660288" behindDoc="0" locked="0" layoutInCell="1" allowOverlap="1" wp14:anchorId="108CFC89" wp14:editId="108CFC8A">
              <wp:simplePos x="0" y="0"/>
              <wp:positionH relativeFrom="column">
                <wp:posOffset>3999865</wp:posOffset>
              </wp:positionH>
              <wp:positionV relativeFrom="paragraph">
                <wp:posOffset>16510</wp:posOffset>
              </wp:positionV>
              <wp:extent cx="2000250" cy="750570"/>
              <wp:effectExtent l="8890" t="6985" r="1016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0570"/>
                      </a:xfrm>
                      <a:prstGeom prst="rect">
                        <a:avLst/>
                      </a:prstGeom>
                      <a:solidFill>
                        <a:srgbClr val="FFFFFF"/>
                      </a:solidFill>
                      <a:ln w="9525">
                        <a:solidFill>
                          <a:schemeClr val="bg1">
                            <a:lumMod val="100000"/>
                            <a:lumOff val="0"/>
                          </a:schemeClr>
                        </a:solidFill>
                        <a:miter lim="800000"/>
                        <a:headEnd/>
                        <a:tailEnd/>
                      </a:ln>
                    </wps:spPr>
                    <wps:txbx>
                      <w:txbxContent>
                        <w:p w14:paraId="108CFC8F" w14:textId="77777777" w:rsidR="00016F4A" w:rsidRDefault="00016F4A" w:rsidP="00016F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CFC89" id="_x0000_t202" coordsize="21600,21600" o:spt="202" path="m,l,21600r21600,l21600,xe">
              <v:stroke joinstyle="miter"/>
              <v:path gradientshapeok="t" o:connecttype="rect"/>
            </v:shapetype>
            <v:shape id="Text Box 4" o:spid="_x0000_s1026" type="#_x0000_t202" style="position:absolute;left:0;text-align:left;margin-left:314.95pt;margin-top:1.3pt;width:157.5pt;height:5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" strokecolor="white [3212]">
              <v:textbox>
                <w:txbxContent>
                  <w:p w14:paraId="108CFC8F" w14:textId="77777777" w:rsidR="00016F4A" w:rsidRDefault="00016F4A" w:rsidP="00016F4A"/>
                </w:txbxContent>
              </v:textbox>
            </v:shape>
          </w:pict>
        </mc:Fallback>
      </mc:AlternateContent>
    </w:r>
  </w:p>
  <w:p w14:paraId="108CFC7D" w14:textId="77777777" w:rsidR="00B71A50" w:rsidRDefault="00B71A50" w:rsidP="00016F4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FC80" w14:textId="77777777" w:rsidR="00F50B6E" w:rsidRDefault="00F50B6E" w:rsidP="00A139A3">
    <w:pPr>
      <w:pStyle w:val="Footer"/>
      <w:tabs>
        <w:tab w:val="clear" w:pos="4153"/>
      </w:tabs>
      <w:ind w:left="-1134"/>
      <w:rPr>
        <w:rFonts w:ascii="Arial" w:hAnsi="Arial" w:cs="Arial"/>
        <w:color w:val="7F7F7F" w:themeColor="text1" w:themeTint="80"/>
        <w:sz w:val="16"/>
        <w:szCs w:val="16"/>
      </w:rPr>
    </w:pPr>
  </w:p>
  <w:p w14:paraId="108CFC81" w14:textId="77777777" w:rsidR="00F50B6E" w:rsidRPr="00016F4A" w:rsidRDefault="00F50B6E" w:rsidP="00016F4A">
    <w:pPr>
      <w:pStyle w:val="Footer"/>
      <w:ind w:left="-567"/>
      <w:jc w:val="center"/>
      <w:rPr>
        <w:rFonts w:ascii="Arial" w:hAnsi="Arial" w:cs="Arial"/>
        <w:color w:val="7F7F7F" w:themeColor="text1" w:themeTint="80"/>
        <w:sz w:val="16"/>
        <w:szCs w:val="16"/>
      </w:rPr>
    </w:pPr>
    <w:r w:rsidRPr="00016F4A">
      <w:rPr>
        <w:rFonts w:ascii="Arial" w:hAnsi="Arial" w:cs="Arial"/>
        <w:color w:val="7F7F7F" w:themeColor="text1" w:themeTint="80"/>
        <w:sz w:val="16"/>
        <w:szCs w:val="16"/>
      </w:rPr>
      <w:t xml:space="preserve">FEBELIEC </w:t>
    </w:r>
    <w:proofErr w:type="spellStart"/>
    <w:r w:rsidRPr="00016F4A">
      <w:rPr>
        <w:rFonts w:ascii="Arial" w:hAnsi="Arial" w:cs="Arial"/>
        <w:color w:val="7F7F7F" w:themeColor="text1" w:themeTint="80"/>
        <w:sz w:val="16"/>
        <w:szCs w:val="16"/>
      </w:rPr>
      <w:t>vzw</w:t>
    </w:r>
    <w:proofErr w:type="spellEnd"/>
    <w:r w:rsidRPr="00016F4A">
      <w:rPr>
        <w:rFonts w:ascii="Arial" w:hAnsi="Arial" w:cs="Arial"/>
        <w:color w:val="7F7F7F" w:themeColor="text1" w:themeTint="80"/>
        <w:sz w:val="16"/>
        <w:szCs w:val="16"/>
      </w:rPr>
      <w:t>/</w:t>
    </w:r>
    <w:proofErr w:type="spellStart"/>
    <w:r w:rsidRPr="00016F4A">
      <w:rPr>
        <w:rFonts w:ascii="Arial" w:hAnsi="Arial" w:cs="Arial"/>
        <w:color w:val="7F7F7F" w:themeColor="text1" w:themeTint="80"/>
        <w:sz w:val="16"/>
        <w:szCs w:val="16"/>
      </w:rPr>
      <w:t>asbl</w:t>
    </w:r>
    <w:proofErr w:type="spellEnd"/>
  </w:p>
  <w:p w14:paraId="108CFC82" w14:textId="77777777" w:rsidR="00F50B6E" w:rsidRPr="00016F4A" w:rsidRDefault="00912518" w:rsidP="00016F4A">
    <w:pPr>
      <w:pStyle w:val="Footer"/>
      <w:ind w:left="-567"/>
      <w:jc w:val="center"/>
      <w:rPr>
        <w:rFonts w:ascii="Arial" w:hAnsi="Arial" w:cs="Arial"/>
        <w:color w:val="7F7F7F" w:themeColor="text1" w:themeTint="80"/>
        <w:sz w:val="16"/>
        <w:szCs w:val="16"/>
      </w:rPr>
    </w:pPr>
    <w:r>
      <w:rPr>
        <w:rFonts w:ascii="Arial" w:hAnsi="Arial" w:cs="Arial"/>
        <w:color w:val="7F7F7F" w:themeColor="text1" w:themeTint="80"/>
        <w:sz w:val="16"/>
        <w:szCs w:val="16"/>
      </w:rPr>
      <w:t>BluePoint Brussels</w:t>
    </w:r>
    <w:r w:rsidR="00F50B6E" w:rsidRPr="00016F4A">
      <w:rPr>
        <w:rFonts w:ascii="Arial" w:hAnsi="Arial" w:cs="Arial"/>
        <w:color w:val="7F7F7F" w:themeColor="text1" w:themeTint="80"/>
        <w:sz w:val="16"/>
        <w:szCs w:val="16"/>
      </w:rPr>
      <w:t xml:space="preserve">, Bld. A. </w:t>
    </w:r>
    <w:proofErr w:type="spellStart"/>
    <w:r w:rsidR="00F50B6E" w:rsidRPr="00016F4A">
      <w:rPr>
        <w:rFonts w:ascii="Arial" w:hAnsi="Arial" w:cs="Arial"/>
        <w:color w:val="7F7F7F" w:themeColor="text1" w:themeTint="80"/>
        <w:sz w:val="16"/>
        <w:szCs w:val="16"/>
      </w:rPr>
      <w:t>Reyerslaan</w:t>
    </w:r>
    <w:proofErr w:type="spellEnd"/>
    <w:r w:rsidR="00F50B6E" w:rsidRPr="00016F4A">
      <w:rPr>
        <w:rFonts w:ascii="Arial" w:hAnsi="Arial" w:cs="Arial"/>
        <w:color w:val="7F7F7F" w:themeColor="text1" w:themeTint="80"/>
        <w:sz w:val="16"/>
        <w:szCs w:val="16"/>
      </w:rPr>
      <w:t xml:space="preserve"> 80, 1030 – Brussel/</w:t>
    </w:r>
    <w:proofErr w:type="spellStart"/>
    <w:r w:rsidR="00F50B6E" w:rsidRPr="00016F4A">
      <w:rPr>
        <w:rFonts w:ascii="Arial" w:hAnsi="Arial" w:cs="Arial"/>
        <w:color w:val="7F7F7F" w:themeColor="text1" w:themeTint="80"/>
        <w:sz w:val="16"/>
        <w:szCs w:val="16"/>
      </w:rPr>
      <w:t>Bruxelles</w:t>
    </w:r>
    <w:proofErr w:type="spellEnd"/>
  </w:p>
  <w:p w14:paraId="108CFC83" w14:textId="77777777" w:rsidR="00F50B6E" w:rsidRPr="00D70296" w:rsidRDefault="00F50B6E" w:rsidP="00016F4A">
    <w:pPr>
      <w:pStyle w:val="Footer"/>
      <w:ind w:left="-567"/>
      <w:jc w:val="center"/>
      <w:rPr>
        <w:rFonts w:ascii="Arial" w:hAnsi="Arial" w:cs="Arial"/>
        <w:color w:val="7F7F7F" w:themeColor="text1" w:themeTint="80"/>
        <w:sz w:val="16"/>
        <w:szCs w:val="16"/>
        <w:lang w:val="en-US"/>
      </w:rPr>
    </w:pPr>
    <w:r w:rsidRPr="00D70296">
      <w:rPr>
        <w:rFonts w:ascii="Arial" w:hAnsi="Arial" w:cs="Arial"/>
        <w:color w:val="7F7F7F" w:themeColor="text1" w:themeTint="80"/>
        <w:sz w:val="16"/>
        <w:szCs w:val="16"/>
        <w:lang w:val="en-US"/>
      </w:rPr>
      <w:t xml:space="preserve">Tel: +32 (0)496 59 36 20, e-mail: </w:t>
    </w:r>
    <w:hyperlink r:id="rId1" w:history="1">
      <w:r w:rsidR="00C50A7A" w:rsidRPr="0092786D">
        <w:rPr>
          <w:rStyle w:val="Hyperlink"/>
          <w:rFonts w:ascii="Arial" w:hAnsi="Arial" w:cs="Arial"/>
          <w:sz w:val="16"/>
          <w:szCs w:val="16"/>
          <w:lang w:val="en-US"/>
        </w:rPr>
        <w:t>febeliec@febeliec.be</w:t>
      </w:r>
    </w:hyperlink>
    <w:r w:rsidR="00016F4A" w:rsidRPr="00D70296">
      <w:rPr>
        <w:color w:val="7F7F7F" w:themeColor="text1" w:themeTint="80"/>
        <w:lang w:val="en-US"/>
      </w:rPr>
      <w:t xml:space="preserve">, </w:t>
    </w:r>
    <w:hyperlink r:id="rId2" w:history="1">
      <w:r w:rsidR="00016F4A" w:rsidRPr="00D70296">
        <w:rPr>
          <w:rStyle w:val="Hyperlink"/>
          <w:rFonts w:ascii="Arial" w:hAnsi="Arial" w:cs="Arial"/>
          <w:color w:val="7F7F7F" w:themeColor="text1" w:themeTint="80"/>
          <w:sz w:val="16"/>
          <w:szCs w:val="16"/>
          <w:lang w:val="en-US"/>
        </w:rPr>
        <w:t>www.febeliec.be</w:t>
      </w:r>
    </w:hyperlink>
  </w:p>
  <w:p w14:paraId="108CFC84" w14:textId="77777777" w:rsidR="000B6D81" w:rsidRPr="00016F4A" w:rsidRDefault="00F50B6E" w:rsidP="00016F4A">
    <w:pPr>
      <w:pStyle w:val="Footer"/>
      <w:ind w:left="-567"/>
      <w:jc w:val="center"/>
      <w:rPr>
        <w:rFonts w:ascii="Arial" w:hAnsi="Arial" w:cs="Arial"/>
        <w:color w:val="7F7F7F" w:themeColor="text1" w:themeTint="80"/>
        <w:sz w:val="16"/>
        <w:szCs w:val="16"/>
      </w:rPr>
    </w:pPr>
    <w:r w:rsidRPr="00016F4A">
      <w:rPr>
        <w:rFonts w:ascii="Arial" w:hAnsi="Arial" w:cs="Arial"/>
        <w:color w:val="7F7F7F" w:themeColor="text1" w:themeTint="80"/>
        <w:sz w:val="16"/>
        <w:szCs w:val="16"/>
        <w:lang w:val="en-US"/>
      </w:rPr>
      <w:t xml:space="preserve">TVA/BTW BE 0439 877 578 </w:t>
    </w:r>
    <w:r w:rsidR="00DA0B2D">
      <w:rPr>
        <w:rFonts w:ascii="Arial" w:hAnsi="Arial" w:cs="Arial"/>
        <w:noProof/>
        <w:color w:val="7F7F7F" w:themeColor="text1" w:themeTint="80"/>
        <w:sz w:val="16"/>
        <w:szCs w:val="16"/>
        <w:lang w:eastAsia="en-GB"/>
      </w:rPr>
      <mc:AlternateContent>
        <mc:Choice Requires="wps">
          <w:drawing>
            <wp:anchor distT="0" distB="0" distL="114300" distR="114300" simplePos="0" relativeHeight="251658240" behindDoc="0" locked="0" layoutInCell="1" allowOverlap="1" wp14:anchorId="108CFC8D" wp14:editId="108CFC8E">
              <wp:simplePos x="0" y="0"/>
              <wp:positionH relativeFrom="column">
                <wp:posOffset>3999865</wp:posOffset>
              </wp:positionH>
              <wp:positionV relativeFrom="paragraph">
                <wp:posOffset>16510</wp:posOffset>
              </wp:positionV>
              <wp:extent cx="2000250" cy="750570"/>
              <wp:effectExtent l="8890" t="6985" r="10160"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50570"/>
                      </a:xfrm>
                      <a:prstGeom prst="rect">
                        <a:avLst/>
                      </a:prstGeom>
                      <a:solidFill>
                        <a:srgbClr val="FFFFFF"/>
                      </a:solidFill>
                      <a:ln w="9525">
                        <a:solidFill>
                          <a:schemeClr val="bg1">
                            <a:lumMod val="100000"/>
                            <a:lumOff val="0"/>
                          </a:schemeClr>
                        </a:solidFill>
                        <a:miter lim="800000"/>
                        <a:headEnd/>
                        <a:tailEnd/>
                      </a:ln>
                    </wps:spPr>
                    <wps:txbx>
                      <w:txbxContent>
                        <w:p w14:paraId="108CFC90" w14:textId="77777777" w:rsidR="000B6D81" w:rsidRDefault="000B6D8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8CFC8D" id="_x0000_t202" coordsize="21600,21600" o:spt="202" path="m,l,21600r21600,l21600,xe">
              <v:stroke joinstyle="miter"/>
              <v:path gradientshapeok="t" o:connecttype="rect"/>
            </v:shapetype>
            <v:shape id="Text Box 1" o:spid="_x0000_s1027" type="#_x0000_t202" style="position:absolute;left:0;text-align:left;margin-left:314.95pt;margin-top:1.3pt;width:157.5pt;height:59.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" strokecolor="white [3212]">
              <v:textbox>
                <w:txbxContent>
                  <w:p w14:paraId="108CFC90" w14:textId="77777777" w:rsidR="000B6D81" w:rsidRDefault="000B6D81"/>
                </w:txbxContent>
              </v:textbox>
            </v:shape>
          </w:pict>
        </mc:Fallback>
      </mc:AlternateContent>
    </w:r>
  </w:p>
  <w:p w14:paraId="108CFC85" w14:textId="77777777" w:rsidR="000B6D81" w:rsidRDefault="000B6D81" w:rsidP="00BA74FD">
    <w:pPr>
      <w:pStyle w:val="Footer"/>
      <w:jc w:val="center"/>
      <w:rPr>
        <w:rFonts w:ascii="Arial" w:hAnsi="Arial" w:cs="Arial"/>
        <w:sz w:val="16"/>
        <w:szCs w:val="16"/>
      </w:rPr>
    </w:pPr>
  </w:p>
  <w:p w14:paraId="108CFC86" w14:textId="77777777" w:rsidR="000B6D81" w:rsidRPr="00A952C2" w:rsidRDefault="000B6D81" w:rsidP="007C36B4">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AC2BD" w14:textId="77777777" w:rsidR="00E02C33" w:rsidRDefault="00E02C33">
      <w:r>
        <w:separator/>
      </w:r>
    </w:p>
  </w:footnote>
  <w:footnote w:type="continuationSeparator" w:id="0">
    <w:p w14:paraId="27B745F4" w14:textId="77777777" w:rsidR="00E02C33" w:rsidRDefault="00E02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FC77" w14:textId="77777777" w:rsidR="000B6D81" w:rsidRDefault="00016F4A" w:rsidP="00B2147B">
    <w:pPr>
      <w:pStyle w:val="Header"/>
      <w:ind w:left="-900"/>
    </w:pPr>
    <w:r w:rsidRPr="00016F4A">
      <w:rPr>
        <w:noProof/>
        <w:lang w:eastAsia="en-GB"/>
      </w:rPr>
      <w:drawing>
        <wp:inline distT="0" distB="0" distL="0" distR="0" wp14:anchorId="108CFC87" wp14:editId="108CFC88">
          <wp:extent cx="2128927" cy="779030"/>
          <wp:effectExtent l="19050" t="0" r="4673"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26400" cy="778105"/>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8CFC7E" w14:textId="77777777" w:rsidR="000B6D81" w:rsidRDefault="000B6D81" w:rsidP="00125C2B">
    <w:pPr>
      <w:pStyle w:val="Header"/>
      <w:ind w:left="-1134"/>
    </w:pPr>
    <w:r>
      <w:rPr>
        <w:noProof/>
        <w:lang w:eastAsia="en-GB"/>
      </w:rPr>
      <w:drawing>
        <wp:inline distT="0" distB="0" distL="0" distR="0" wp14:anchorId="108CFC8B" wp14:editId="108CFC8C">
          <wp:extent cx="2128927" cy="779030"/>
          <wp:effectExtent l="19050" t="0" r="4673"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26400" cy="778105"/>
                  </a:xfrm>
                  <a:prstGeom prst="rect">
                    <a:avLst/>
                  </a:prstGeom>
                  <a:noFill/>
                  <a:ln w="9525">
                    <a:noFill/>
                    <a:miter lim="800000"/>
                    <a:headEnd/>
                    <a:tailEnd/>
                  </a:ln>
                </pic:spPr>
              </pic:pic>
            </a:graphicData>
          </a:graphic>
        </wp:inline>
      </w:drawing>
    </w:r>
  </w:p>
  <w:p w14:paraId="108CFC7F" w14:textId="77777777" w:rsidR="000B6D81" w:rsidRDefault="000B6D81" w:rsidP="00125C2B">
    <w:pPr>
      <w:pStyle w:val="Header"/>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1368F"/>
    <w:multiLevelType w:val="hybridMultilevel"/>
    <w:tmpl w:val="02C23736"/>
    <w:lvl w:ilvl="0" w:tplc="4B3CD134">
      <w:start w:val="1"/>
      <w:numFmt w:val="bullet"/>
      <w:lvlText w:val="-"/>
      <w:legacy w:legacy="1" w:legacySpace="120" w:legacyIndent="360"/>
      <w:lvlJc w:val="left"/>
      <w:pPr>
        <w:ind w:left="360" w:hanging="360"/>
      </w:pPr>
    </w:lvl>
    <w:lvl w:ilvl="1" w:tplc="04130003" w:tentative="1">
      <w:start w:val="1"/>
      <w:numFmt w:val="bullet"/>
      <w:lvlText w:val="o"/>
      <w:lvlJc w:val="left"/>
      <w:pPr>
        <w:tabs>
          <w:tab w:val="num" w:pos="479"/>
        </w:tabs>
        <w:ind w:left="479" w:hanging="360"/>
      </w:pPr>
      <w:rPr>
        <w:rFonts w:ascii="Courier New" w:hAnsi="Courier New" w:cs="Courier New" w:hint="default"/>
      </w:rPr>
    </w:lvl>
    <w:lvl w:ilvl="2" w:tplc="04130005" w:tentative="1">
      <w:start w:val="1"/>
      <w:numFmt w:val="bullet"/>
      <w:lvlText w:val=""/>
      <w:lvlJc w:val="left"/>
      <w:pPr>
        <w:tabs>
          <w:tab w:val="num" w:pos="1199"/>
        </w:tabs>
        <w:ind w:left="1199" w:hanging="360"/>
      </w:pPr>
      <w:rPr>
        <w:rFonts w:ascii="Wingdings" w:hAnsi="Wingdings" w:hint="default"/>
      </w:rPr>
    </w:lvl>
    <w:lvl w:ilvl="3" w:tplc="04130001" w:tentative="1">
      <w:start w:val="1"/>
      <w:numFmt w:val="bullet"/>
      <w:lvlText w:val=""/>
      <w:lvlJc w:val="left"/>
      <w:pPr>
        <w:tabs>
          <w:tab w:val="num" w:pos="1919"/>
        </w:tabs>
        <w:ind w:left="1919" w:hanging="360"/>
      </w:pPr>
      <w:rPr>
        <w:rFonts w:ascii="Symbol" w:hAnsi="Symbol" w:hint="default"/>
      </w:rPr>
    </w:lvl>
    <w:lvl w:ilvl="4" w:tplc="04130003" w:tentative="1">
      <w:start w:val="1"/>
      <w:numFmt w:val="bullet"/>
      <w:lvlText w:val="o"/>
      <w:lvlJc w:val="left"/>
      <w:pPr>
        <w:tabs>
          <w:tab w:val="num" w:pos="2639"/>
        </w:tabs>
        <w:ind w:left="2639" w:hanging="360"/>
      </w:pPr>
      <w:rPr>
        <w:rFonts w:ascii="Courier New" w:hAnsi="Courier New" w:cs="Courier New" w:hint="default"/>
      </w:rPr>
    </w:lvl>
    <w:lvl w:ilvl="5" w:tplc="04130005" w:tentative="1">
      <w:start w:val="1"/>
      <w:numFmt w:val="bullet"/>
      <w:lvlText w:val=""/>
      <w:lvlJc w:val="left"/>
      <w:pPr>
        <w:tabs>
          <w:tab w:val="num" w:pos="3359"/>
        </w:tabs>
        <w:ind w:left="3359" w:hanging="360"/>
      </w:pPr>
      <w:rPr>
        <w:rFonts w:ascii="Wingdings" w:hAnsi="Wingdings" w:hint="default"/>
      </w:rPr>
    </w:lvl>
    <w:lvl w:ilvl="6" w:tplc="04130001" w:tentative="1">
      <w:start w:val="1"/>
      <w:numFmt w:val="bullet"/>
      <w:lvlText w:val=""/>
      <w:lvlJc w:val="left"/>
      <w:pPr>
        <w:tabs>
          <w:tab w:val="num" w:pos="4079"/>
        </w:tabs>
        <w:ind w:left="4079" w:hanging="360"/>
      </w:pPr>
      <w:rPr>
        <w:rFonts w:ascii="Symbol" w:hAnsi="Symbol" w:hint="default"/>
      </w:rPr>
    </w:lvl>
    <w:lvl w:ilvl="7" w:tplc="04130003" w:tentative="1">
      <w:start w:val="1"/>
      <w:numFmt w:val="bullet"/>
      <w:lvlText w:val="o"/>
      <w:lvlJc w:val="left"/>
      <w:pPr>
        <w:tabs>
          <w:tab w:val="num" w:pos="4799"/>
        </w:tabs>
        <w:ind w:left="4799" w:hanging="360"/>
      </w:pPr>
      <w:rPr>
        <w:rFonts w:ascii="Courier New" w:hAnsi="Courier New" w:cs="Courier New" w:hint="default"/>
      </w:rPr>
    </w:lvl>
    <w:lvl w:ilvl="8" w:tplc="04130005" w:tentative="1">
      <w:start w:val="1"/>
      <w:numFmt w:val="bullet"/>
      <w:lvlText w:val=""/>
      <w:lvlJc w:val="left"/>
      <w:pPr>
        <w:tabs>
          <w:tab w:val="num" w:pos="5519"/>
        </w:tabs>
        <w:ind w:left="5519" w:hanging="360"/>
      </w:pPr>
      <w:rPr>
        <w:rFonts w:ascii="Wingdings" w:hAnsi="Wingdings" w:hint="default"/>
      </w:rPr>
    </w:lvl>
  </w:abstractNum>
  <w:abstractNum w:abstractNumId="1" w15:restartNumberingAfterBreak="0">
    <w:nsid w:val="10DF5D17"/>
    <w:multiLevelType w:val="multilevel"/>
    <w:tmpl w:val="C7CEA572"/>
    <w:lvl w:ilvl="0">
      <w:start w:val="1"/>
      <w:numFmt w:val="decimal"/>
      <w:lvlText w:val="%1."/>
      <w:lvlJc w:val="left"/>
      <w:pPr>
        <w:tabs>
          <w:tab w:val="num" w:pos="210"/>
        </w:tabs>
        <w:ind w:left="210" w:hanging="360"/>
      </w:pPr>
    </w:lvl>
    <w:lvl w:ilvl="1">
      <w:start w:val="1"/>
      <w:numFmt w:val="lowerLetter"/>
      <w:lvlText w:val="%2."/>
      <w:lvlJc w:val="left"/>
      <w:pPr>
        <w:tabs>
          <w:tab w:val="num" w:pos="930"/>
        </w:tabs>
        <w:ind w:left="930" w:hanging="360"/>
      </w:pPr>
    </w:lvl>
    <w:lvl w:ilvl="2">
      <w:start w:val="1"/>
      <w:numFmt w:val="lowerRoman"/>
      <w:lvlText w:val="%3."/>
      <w:lvlJc w:val="right"/>
      <w:pPr>
        <w:tabs>
          <w:tab w:val="num" w:pos="1650"/>
        </w:tabs>
        <w:ind w:left="1650" w:hanging="180"/>
      </w:pPr>
    </w:lvl>
    <w:lvl w:ilvl="3">
      <w:start w:val="1"/>
      <w:numFmt w:val="decimal"/>
      <w:lvlText w:val="%4."/>
      <w:lvlJc w:val="left"/>
      <w:pPr>
        <w:tabs>
          <w:tab w:val="num" w:pos="2370"/>
        </w:tabs>
        <w:ind w:left="2370" w:hanging="360"/>
      </w:pPr>
    </w:lvl>
    <w:lvl w:ilvl="4">
      <w:start w:val="1"/>
      <w:numFmt w:val="lowerLetter"/>
      <w:lvlText w:val="%5."/>
      <w:lvlJc w:val="left"/>
      <w:pPr>
        <w:tabs>
          <w:tab w:val="num" w:pos="3090"/>
        </w:tabs>
        <w:ind w:left="3090" w:hanging="360"/>
      </w:pPr>
    </w:lvl>
    <w:lvl w:ilvl="5">
      <w:start w:val="1"/>
      <w:numFmt w:val="lowerRoman"/>
      <w:lvlText w:val="%6."/>
      <w:lvlJc w:val="right"/>
      <w:pPr>
        <w:tabs>
          <w:tab w:val="num" w:pos="3810"/>
        </w:tabs>
        <w:ind w:left="3810" w:hanging="180"/>
      </w:pPr>
    </w:lvl>
    <w:lvl w:ilvl="6">
      <w:start w:val="1"/>
      <w:numFmt w:val="decimal"/>
      <w:lvlText w:val="%7."/>
      <w:lvlJc w:val="left"/>
      <w:pPr>
        <w:tabs>
          <w:tab w:val="num" w:pos="4530"/>
        </w:tabs>
        <w:ind w:left="4530" w:hanging="360"/>
      </w:pPr>
    </w:lvl>
    <w:lvl w:ilvl="7">
      <w:start w:val="1"/>
      <w:numFmt w:val="lowerLetter"/>
      <w:lvlText w:val="%8."/>
      <w:lvlJc w:val="left"/>
      <w:pPr>
        <w:tabs>
          <w:tab w:val="num" w:pos="5250"/>
        </w:tabs>
        <w:ind w:left="5250" w:hanging="360"/>
      </w:pPr>
    </w:lvl>
    <w:lvl w:ilvl="8">
      <w:start w:val="1"/>
      <w:numFmt w:val="lowerRoman"/>
      <w:lvlText w:val="%9."/>
      <w:lvlJc w:val="right"/>
      <w:pPr>
        <w:tabs>
          <w:tab w:val="num" w:pos="5970"/>
        </w:tabs>
        <w:ind w:left="5970" w:hanging="180"/>
      </w:pPr>
    </w:lvl>
  </w:abstractNum>
  <w:abstractNum w:abstractNumId="2" w15:restartNumberingAfterBreak="0">
    <w:nsid w:val="26D02781"/>
    <w:multiLevelType w:val="hybridMultilevel"/>
    <w:tmpl w:val="7C5E9A6C"/>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 w15:restartNumberingAfterBreak="0">
    <w:nsid w:val="28865565"/>
    <w:multiLevelType w:val="hybridMultilevel"/>
    <w:tmpl w:val="E114596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 w15:restartNumberingAfterBreak="0">
    <w:nsid w:val="2C1C6D55"/>
    <w:multiLevelType w:val="hybridMultilevel"/>
    <w:tmpl w:val="595EFD3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49021073"/>
    <w:multiLevelType w:val="hybridMultilevel"/>
    <w:tmpl w:val="5DD8C3F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036728C"/>
    <w:multiLevelType w:val="hybridMultilevel"/>
    <w:tmpl w:val="61821F7A"/>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5A577653"/>
    <w:multiLevelType w:val="hybridMultilevel"/>
    <w:tmpl w:val="E63665B0"/>
    <w:lvl w:ilvl="0" w:tplc="C7C2D3AC">
      <w:start w:val="1210"/>
      <w:numFmt w:val="decimal"/>
      <w:lvlText w:val="%1"/>
      <w:lvlJc w:val="left"/>
      <w:pPr>
        <w:tabs>
          <w:tab w:val="num" w:pos="5400"/>
        </w:tabs>
        <w:ind w:left="5400" w:hanging="900"/>
      </w:pPr>
      <w:rPr>
        <w:rFonts w:hint="default"/>
      </w:rPr>
    </w:lvl>
    <w:lvl w:ilvl="1" w:tplc="04130019" w:tentative="1">
      <w:start w:val="1"/>
      <w:numFmt w:val="lowerLetter"/>
      <w:lvlText w:val="%2."/>
      <w:lvlJc w:val="left"/>
      <w:pPr>
        <w:tabs>
          <w:tab w:val="num" w:pos="5580"/>
        </w:tabs>
        <w:ind w:left="5580" w:hanging="360"/>
      </w:pPr>
    </w:lvl>
    <w:lvl w:ilvl="2" w:tplc="0413001B" w:tentative="1">
      <w:start w:val="1"/>
      <w:numFmt w:val="lowerRoman"/>
      <w:lvlText w:val="%3."/>
      <w:lvlJc w:val="right"/>
      <w:pPr>
        <w:tabs>
          <w:tab w:val="num" w:pos="6300"/>
        </w:tabs>
        <w:ind w:left="6300" w:hanging="180"/>
      </w:pPr>
    </w:lvl>
    <w:lvl w:ilvl="3" w:tplc="0413000F" w:tentative="1">
      <w:start w:val="1"/>
      <w:numFmt w:val="decimal"/>
      <w:lvlText w:val="%4."/>
      <w:lvlJc w:val="left"/>
      <w:pPr>
        <w:tabs>
          <w:tab w:val="num" w:pos="7020"/>
        </w:tabs>
        <w:ind w:left="7020" w:hanging="360"/>
      </w:pPr>
    </w:lvl>
    <w:lvl w:ilvl="4" w:tplc="04130019" w:tentative="1">
      <w:start w:val="1"/>
      <w:numFmt w:val="lowerLetter"/>
      <w:lvlText w:val="%5."/>
      <w:lvlJc w:val="left"/>
      <w:pPr>
        <w:tabs>
          <w:tab w:val="num" w:pos="7740"/>
        </w:tabs>
        <w:ind w:left="7740" w:hanging="360"/>
      </w:pPr>
    </w:lvl>
    <w:lvl w:ilvl="5" w:tplc="0413001B" w:tentative="1">
      <w:start w:val="1"/>
      <w:numFmt w:val="lowerRoman"/>
      <w:lvlText w:val="%6."/>
      <w:lvlJc w:val="right"/>
      <w:pPr>
        <w:tabs>
          <w:tab w:val="num" w:pos="8460"/>
        </w:tabs>
        <w:ind w:left="8460" w:hanging="180"/>
      </w:pPr>
    </w:lvl>
    <w:lvl w:ilvl="6" w:tplc="0413000F" w:tentative="1">
      <w:start w:val="1"/>
      <w:numFmt w:val="decimal"/>
      <w:lvlText w:val="%7."/>
      <w:lvlJc w:val="left"/>
      <w:pPr>
        <w:tabs>
          <w:tab w:val="num" w:pos="9180"/>
        </w:tabs>
        <w:ind w:left="9180" w:hanging="360"/>
      </w:pPr>
    </w:lvl>
    <w:lvl w:ilvl="7" w:tplc="04130019" w:tentative="1">
      <w:start w:val="1"/>
      <w:numFmt w:val="lowerLetter"/>
      <w:lvlText w:val="%8."/>
      <w:lvlJc w:val="left"/>
      <w:pPr>
        <w:tabs>
          <w:tab w:val="num" w:pos="9900"/>
        </w:tabs>
        <w:ind w:left="9900" w:hanging="360"/>
      </w:pPr>
    </w:lvl>
    <w:lvl w:ilvl="8" w:tplc="0413001B" w:tentative="1">
      <w:start w:val="1"/>
      <w:numFmt w:val="lowerRoman"/>
      <w:lvlText w:val="%9."/>
      <w:lvlJc w:val="right"/>
      <w:pPr>
        <w:tabs>
          <w:tab w:val="num" w:pos="10620"/>
        </w:tabs>
        <w:ind w:left="10620" w:hanging="180"/>
      </w:pPr>
    </w:lvl>
  </w:abstractNum>
  <w:abstractNum w:abstractNumId="8" w15:restartNumberingAfterBreak="0">
    <w:nsid w:val="5ACC0719"/>
    <w:multiLevelType w:val="hybridMultilevel"/>
    <w:tmpl w:val="043EFCD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9" w15:restartNumberingAfterBreak="0">
    <w:nsid w:val="61083055"/>
    <w:multiLevelType w:val="hybridMultilevel"/>
    <w:tmpl w:val="270EADC4"/>
    <w:lvl w:ilvl="0" w:tplc="0413000F">
      <w:start w:val="1"/>
      <w:numFmt w:val="decimal"/>
      <w:lvlText w:val="%1."/>
      <w:lvlJc w:val="left"/>
      <w:pPr>
        <w:tabs>
          <w:tab w:val="num" w:pos="210"/>
        </w:tabs>
        <w:ind w:left="210" w:hanging="360"/>
      </w:pPr>
    </w:lvl>
    <w:lvl w:ilvl="1" w:tplc="04130011">
      <w:start w:val="1"/>
      <w:numFmt w:val="decimal"/>
      <w:lvlText w:val="%2)"/>
      <w:lvlJc w:val="left"/>
      <w:pPr>
        <w:tabs>
          <w:tab w:val="num" w:pos="930"/>
        </w:tabs>
        <w:ind w:left="930" w:hanging="360"/>
      </w:pPr>
    </w:lvl>
    <w:lvl w:ilvl="2" w:tplc="0413001B" w:tentative="1">
      <w:start w:val="1"/>
      <w:numFmt w:val="lowerRoman"/>
      <w:lvlText w:val="%3."/>
      <w:lvlJc w:val="right"/>
      <w:pPr>
        <w:tabs>
          <w:tab w:val="num" w:pos="1650"/>
        </w:tabs>
        <w:ind w:left="1650" w:hanging="180"/>
      </w:pPr>
    </w:lvl>
    <w:lvl w:ilvl="3" w:tplc="0413000F" w:tentative="1">
      <w:start w:val="1"/>
      <w:numFmt w:val="decimal"/>
      <w:lvlText w:val="%4."/>
      <w:lvlJc w:val="left"/>
      <w:pPr>
        <w:tabs>
          <w:tab w:val="num" w:pos="2370"/>
        </w:tabs>
        <w:ind w:left="2370" w:hanging="360"/>
      </w:pPr>
    </w:lvl>
    <w:lvl w:ilvl="4" w:tplc="04130019" w:tentative="1">
      <w:start w:val="1"/>
      <w:numFmt w:val="lowerLetter"/>
      <w:lvlText w:val="%5."/>
      <w:lvlJc w:val="left"/>
      <w:pPr>
        <w:tabs>
          <w:tab w:val="num" w:pos="3090"/>
        </w:tabs>
        <w:ind w:left="3090" w:hanging="360"/>
      </w:pPr>
    </w:lvl>
    <w:lvl w:ilvl="5" w:tplc="0413001B" w:tentative="1">
      <w:start w:val="1"/>
      <w:numFmt w:val="lowerRoman"/>
      <w:lvlText w:val="%6."/>
      <w:lvlJc w:val="right"/>
      <w:pPr>
        <w:tabs>
          <w:tab w:val="num" w:pos="3810"/>
        </w:tabs>
        <w:ind w:left="3810" w:hanging="180"/>
      </w:pPr>
    </w:lvl>
    <w:lvl w:ilvl="6" w:tplc="0413000F" w:tentative="1">
      <w:start w:val="1"/>
      <w:numFmt w:val="decimal"/>
      <w:lvlText w:val="%7."/>
      <w:lvlJc w:val="left"/>
      <w:pPr>
        <w:tabs>
          <w:tab w:val="num" w:pos="4530"/>
        </w:tabs>
        <w:ind w:left="4530" w:hanging="360"/>
      </w:pPr>
    </w:lvl>
    <w:lvl w:ilvl="7" w:tplc="04130019" w:tentative="1">
      <w:start w:val="1"/>
      <w:numFmt w:val="lowerLetter"/>
      <w:lvlText w:val="%8."/>
      <w:lvlJc w:val="left"/>
      <w:pPr>
        <w:tabs>
          <w:tab w:val="num" w:pos="5250"/>
        </w:tabs>
        <w:ind w:left="5250" w:hanging="360"/>
      </w:pPr>
    </w:lvl>
    <w:lvl w:ilvl="8" w:tplc="0413001B" w:tentative="1">
      <w:start w:val="1"/>
      <w:numFmt w:val="lowerRoman"/>
      <w:lvlText w:val="%9."/>
      <w:lvlJc w:val="right"/>
      <w:pPr>
        <w:tabs>
          <w:tab w:val="num" w:pos="5970"/>
        </w:tabs>
        <w:ind w:left="5970" w:hanging="180"/>
      </w:pPr>
    </w:lvl>
  </w:abstractNum>
  <w:abstractNum w:abstractNumId="10" w15:restartNumberingAfterBreak="0">
    <w:nsid w:val="722D7C26"/>
    <w:multiLevelType w:val="hybridMultilevel"/>
    <w:tmpl w:val="CDEA1B10"/>
    <w:lvl w:ilvl="0" w:tplc="FB9ADA1A">
      <w:numFmt w:val="bullet"/>
      <w:lvlText w:val=""/>
      <w:lvlJc w:val="left"/>
      <w:pPr>
        <w:ind w:left="720" w:hanging="360"/>
      </w:pPr>
      <w:rPr>
        <w:rFonts w:ascii="Symbol" w:eastAsia="Times New Roman" w:hAnsi="Symbo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753B20DF"/>
    <w:multiLevelType w:val="hybridMultilevel"/>
    <w:tmpl w:val="86F02436"/>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7"/>
  </w:num>
  <w:num w:numId="2">
    <w:abstractNumId w:val="9"/>
  </w:num>
  <w:num w:numId="3">
    <w:abstractNumId w:val="1"/>
  </w:num>
  <w:num w:numId="4">
    <w:abstractNumId w:val="0"/>
  </w:num>
  <w:num w:numId="5">
    <w:abstractNumId w:val="5"/>
  </w:num>
  <w:num w:numId="6">
    <w:abstractNumId w:val="11"/>
  </w:num>
  <w:num w:numId="7">
    <w:abstractNumId w:val="4"/>
  </w:num>
  <w:num w:numId="8">
    <w:abstractNumId w:val="6"/>
  </w:num>
  <w:num w:numId="9">
    <w:abstractNumId w:val="2"/>
  </w:num>
  <w:num w:numId="10">
    <w:abstractNumId w:val="8"/>
  </w:num>
  <w:num w:numId="11">
    <w:abstractNumId w:val="10"/>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0F95"/>
    <w:rsid w:val="000013A8"/>
    <w:rsid w:val="00007785"/>
    <w:rsid w:val="00010C8A"/>
    <w:rsid w:val="00016F4A"/>
    <w:rsid w:val="00023A4C"/>
    <w:rsid w:val="00025E89"/>
    <w:rsid w:val="00057B1A"/>
    <w:rsid w:val="00057B9B"/>
    <w:rsid w:val="00061423"/>
    <w:rsid w:val="00085FB0"/>
    <w:rsid w:val="000B379D"/>
    <w:rsid w:val="000B39CC"/>
    <w:rsid w:val="000B6D81"/>
    <w:rsid w:val="000C1EC6"/>
    <w:rsid w:val="000F72C7"/>
    <w:rsid w:val="00102582"/>
    <w:rsid w:val="00104C7C"/>
    <w:rsid w:val="0011130B"/>
    <w:rsid w:val="00125C2B"/>
    <w:rsid w:val="001313A4"/>
    <w:rsid w:val="00135C58"/>
    <w:rsid w:val="0014287A"/>
    <w:rsid w:val="00142B68"/>
    <w:rsid w:val="001654F8"/>
    <w:rsid w:val="00187E9A"/>
    <w:rsid w:val="001973EC"/>
    <w:rsid w:val="001A0A84"/>
    <w:rsid w:val="001A129C"/>
    <w:rsid w:val="001A6BAA"/>
    <w:rsid w:val="001B48A8"/>
    <w:rsid w:val="001B57CC"/>
    <w:rsid w:val="001C1DFC"/>
    <w:rsid w:val="001C24F0"/>
    <w:rsid w:val="001D5FC9"/>
    <w:rsid w:val="001D68C5"/>
    <w:rsid w:val="002031B1"/>
    <w:rsid w:val="002076D9"/>
    <w:rsid w:val="002124E6"/>
    <w:rsid w:val="00212C9E"/>
    <w:rsid w:val="00215928"/>
    <w:rsid w:val="00220A3C"/>
    <w:rsid w:val="0022233F"/>
    <w:rsid w:val="00230399"/>
    <w:rsid w:val="00233F66"/>
    <w:rsid w:val="002449B6"/>
    <w:rsid w:val="00254FFB"/>
    <w:rsid w:val="002557C4"/>
    <w:rsid w:val="00264E80"/>
    <w:rsid w:val="002A03E3"/>
    <w:rsid w:val="002A71F0"/>
    <w:rsid w:val="002B0F95"/>
    <w:rsid w:val="002B2F9A"/>
    <w:rsid w:val="002C5154"/>
    <w:rsid w:val="002C6F00"/>
    <w:rsid w:val="002D7F4F"/>
    <w:rsid w:val="002E3564"/>
    <w:rsid w:val="002E4862"/>
    <w:rsid w:val="002F43C3"/>
    <w:rsid w:val="002F48FC"/>
    <w:rsid w:val="002F665D"/>
    <w:rsid w:val="002F69E3"/>
    <w:rsid w:val="00304B41"/>
    <w:rsid w:val="00312710"/>
    <w:rsid w:val="00317A83"/>
    <w:rsid w:val="0033685B"/>
    <w:rsid w:val="003423E3"/>
    <w:rsid w:val="00351034"/>
    <w:rsid w:val="0035200E"/>
    <w:rsid w:val="003560D2"/>
    <w:rsid w:val="00361300"/>
    <w:rsid w:val="00373143"/>
    <w:rsid w:val="00384A56"/>
    <w:rsid w:val="0039662D"/>
    <w:rsid w:val="003B0C1E"/>
    <w:rsid w:val="003C3A2C"/>
    <w:rsid w:val="003D0722"/>
    <w:rsid w:val="003D7E93"/>
    <w:rsid w:val="00400644"/>
    <w:rsid w:val="00403BD3"/>
    <w:rsid w:val="0041060E"/>
    <w:rsid w:val="00415516"/>
    <w:rsid w:val="004311DD"/>
    <w:rsid w:val="00442E20"/>
    <w:rsid w:val="004800E7"/>
    <w:rsid w:val="004821DE"/>
    <w:rsid w:val="0049263D"/>
    <w:rsid w:val="0049460D"/>
    <w:rsid w:val="004F0184"/>
    <w:rsid w:val="004F135A"/>
    <w:rsid w:val="004F4642"/>
    <w:rsid w:val="005120A6"/>
    <w:rsid w:val="00520BE1"/>
    <w:rsid w:val="00522A6E"/>
    <w:rsid w:val="0053410D"/>
    <w:rsid w:val="00534879"/>
    <w:rsid w:val="005619F7"/>
    <w:rsid w:val="00561EA2"/>
    <w:rsid w:val="0057618C"/>
    <w:rsid w:val="00576F7E"/>
    <w:rsid w:val="005C55AB"/>
    <w:rsid w:val="005D4BBC"/>
    <w:rsid w:val="005D50D0"/>
    <w:rsid w:val="005F4520"/>
    <w:rsid w:val="005F580B"/>
    <w:rsid w:val="006001DE"/>
    <w:rsid w:val="0060742F"/>
    <w:rsid w:val="00623878"/>
    <w:rsid w:val="00624AF2"/>
    <w:rsid w:val="006275C5"/>
    <w:rsid w:val="00635251"/>
    <w:rsid w:val="00644595"/>
    <w:rsid w:val="006508C4"/>
    <w:rsid w:val="00660770"/>
    <w:rsid w:val="00660F1A"/>
    <w:rsid w:val="006804D9"/>
    <w:rsid w:val="006A6439"/>
    <w:rsid w:val="006A6B0B"/>
    <w:rsid w:val="006B360A"/>
    <w:rsid w:val="006B6C78"/>
    <w:rsid w:val="006D5F12"/>
    <w:rsid w:val="006E0B5C"/>
    <w:rsid w:val="006F6702"/>
    <w:rsid w:val="0071480F"/>
    <w:rsid w:val="00716B6C"/>
    <w:rsid w:val="007261CD"/>
    <w:rsid w:val="00732099"/>
    <w:rsid w:val="007416F6"/>
    <w:rsid w:val="00743EBA"/>
    <w:rsid w:val="00747C2B"/>
    <w:rsid w:val="007617A6"/>
    <w:rsid w:val="00767E2C"/>
    <w:rsid w:val="0077027C"/>
    <w:rsid w:val="00784AA3"/>
    <w:rsid w:val="007A5686"/>
    <w:rsid w:val="007C01A8"/>
    <w:rsid w:val="007C36B4"/>
    <w:rsid w:val="007C6DD8"/>
    <w:rsid w:val="007E309C"/>
    <w:rsid w:val="00805841"/>
    <w:rsid w:val="00825135"/>
    <w:rsid w:val="00830A99"/>
    <w:rsid w:val="00833143"/>
    <w:rsid w:val="00865AE3"/>
    <w:rsid w:val="008713E9"/>
    <w:rsid w:val="00874E9E"/>
    <w:rsid w:val="00880591"/>
    <w:rsid w:val="00897EEA"/>
    <w:rsid w:val="008B7BFF"/>
    <w:rsid w:val="008C6F04"/>
    <w:rsid w:val="008D60EA"/>
    <w:rsid w:val="00900EC9"/>
    <w:rsid w:val="00912518"/>
    <w:rsid w:val="00917610"/>
    <w:rsid w:val="009176B5"/>
    <w:rsid w:val="009539D5"/>
    <w:rsid w:val="00964CF9"/>
    <w:rsid w:val="00964E0F"/>
    <w:rsid w:val="009723C8"/>
    <w:rsid w:val="0097389B"/>
    <w:rsid w:val="00975B2E"/>
    <w:rsid w:val="00987C86"/>
    <w:rsid w:val="00991CF1"/>
    <w:rsid w:val="009B3E80"/>
    <w:rsid w:val="009B41AA"/>
    <w:rsid w:val="009C322D"/>
    <w:rsid w:val="009D00A5"/>
    <w:rsid w:val="009E533D"/>
    <w:rsid w:val="009F4E7B"/>
    <w:rsid w:val="00A00DE2"/>
    <w:rsid w:val="00A04E8B"/>
    <w:rsid w:val="00A139A3"/>
    <w:rsid w:val="00A142B9"/>
    <w:rsid w:val="00A242F1"/>
    <w:rsid w:val="00A4388C"/>
    <w:rsid w:val="00A56825"/>
    <w:rsid w:val="00A66D99"/>
    <w:rsid w:val="00A83FBC"/>
    <w:rsid w:val="00A869DD"/>
    <w:rsid w:val="00A921B6"/>
    <w:rsid w:val="00A952C2"/>
    <w:rsid w:val="00AD5E64"/>
    <w:rsid w:val="00AE3C42"/>
    <w:rsid w:val="00AF6265"/>
    <w:rsid w:val="00B02368"/>
    <w:rsid w:val="00B03053"/>
    <w:rsid w:val="00B063D9"/>
    <w:rsid w:val="00B11799"/>
    <w:rsid w:val="00B13721"/>
    <w:rsid w:val="00B20DEC"/>
    <w:rsid w:val="00B2147B"/>
    <w:rsid w:val="00B3409E"/>
    <w:rsid w:val="00B524D8"/>
    <w:rsid w:val="00B609A2"/>
    <w:rsid w:val="00B71A50"/>
    <w:rsid w:val="00B8231F"/>
    <w:rsid w:val="00B83D96"/>
    <w:rsid w:val="00BA0C08"/>
    <w:rsid w:val="00BA74FD"/>
    <w:rsid w:val="00BD4D31"/>
    <w:rsid w:val="00BD589F"/>
    <w:rsid w:val="00BD5CB9"/>
    <w:rsid w:val="00BE53D9"/>
    <w:rsid w:val="00BF5F82"/>
    <w:rsid w:val="00C0367C"/>
    <w:rsid w:val="00C04729"/>
    <w:rsid w:val="00C048E2"/>
    <w:rsid w:val="00C04BA8"/>
    <w:rsid w:val="00C1573C"/>
    <w:rsid w:val="00C162AF"/>
    <w:rsid w:val="00C262A4"/>
    <w:rsid w:val="00C31713"/>
    <w:rsid w:val="00C3282D"/>
    <w:rsid w:val="00C50A7A"/>
    <w:rsid w:val="00C5143F"/>
    <w:rsid w:val="00C55110"/>
    <w:rsid w:val="00C816D4"/>
    <w:rsid w:val="00C85CE3"/>
    <w:rsid w:val="00CA147E"/>
    <w:rsid w:val="00CB2E3C"/>
    <w:rsid w:val="00CB5977"/>
    <w:rsid w:val="00CB5ACB"/>
    <w:rsid w:val="00CD7C73"/>
    <w:rsid w:val="00CE05F6"/>
    <w:rsid w:val="00CE495D"/>
    <w:rsid w:val="00CE49A3"/>
    <w:rsid w:val="00CE5ED5"/>
    <w:rsid w:val="00D102F2"/>
    <w:rsid w:val="00D171B4"/>
    <w:rsid w:val="00D260BC"/>
    <w:rsid w:val="00D315D4"/>
    <w:rsid w:val="00D4392E"/>
    <w:rsid w:val="00D63D35"/>
    <w:rsid w:val="00D64426"/>
    <w:rsid w:val="00D70296"/>
    <w:rsid w:val="00D80820"/>
    <w:rsid w:val="00D845FA"/>
    <w:rsid w:val="00D864B5"/>
    <w:rsid w:val="00D9329B"/>
    <w:rsid w:val="00D935E3"/>
    <w:rsid w:val="00DA0B2D"/>
    <w:rsid w:val="00DB438C"/>
    <w:rsid w:val="00DC18CD"/>
    <w:rsid w:val="00DD0405"/>
    <w:rsid w:val="00DE265F"/>
    <w:rsid w:val="00DE7CCE"/>
    <w:rsid w:val="00E02C33"/>
    <w:rsid w:val="00E30683"/>
    <w:rsid w:val="00E36512"/>
    <w:rsid w:val="00E47096"/>
    <w:rsid w:val="00E705EF"/>
    <w:rsid w:val="00E746B0"/>
    <w:rsid w:val="00E767D9"/>
    <w:rsid w:val="00EB4DE1"/>
    <w:rsid w:val="00EC2A9A"/>
    <w:rsid w:val="00EC5613"/>
    <w:rsid w:val="00EC687A"/>
    <w:rsid w:val="00EC7B2D"/>
    <w:rsid w:val="00EE097B"/>
    <w:rsid w:val="00EE4297"/>
    <w:rsid w:val="00F05948"/>
    <w:rsid w:val="00F06114"/>
    <w:rsid w:val="00F22F14"/>
    <w:rsid w:val="00F35FC0"/>
    <w:rsid w:val="00F375A1"/>
    <w:rsid w:val="00F404C9"/>
    <w:rsid w:val="00F40F5A"/>
    <w:rsid w:val="00F50B6E"/>
    <w:rsid w:val="00F562E2"/>
    <w:rsid w:val="00F60BB9"/>
    <w:rsid w:val="00F62B02"/>
    <w:rsid w:val="00F6637A"/>
    <w:rsid w:val="00F67B1D"/>
    <w:rsid w:val="00F70E30"/>
    <w:rsid w:val="00F76353"/>
    <w:rsid w:val="00F825A4"/>
    <w:rsid w:val="00FB1A43"/>
    <w:rsid w:val="00FD0954"/>
    <w:rsid w:val="00FD5BE1"/>
    <w:rsid w:val="00FE030B"/>
    <w:rsid w:val="00FF752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08CFC70"/>
  <w15:docId w15:val="{4011695C-AFDD-4F54-A546-1AC4DA602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23878"/>
    <w:pPr>
      <w:overflowPunct w:val="0"/>
      <w:autoSpaceDE w:val="0"/>
      <w:autoSpaceDN w:val="0"/>
      <w:adjustRightInd w:val="0"/>
      <w:textAlignment w:val="baseline"/>
    </w:pPr>
    <w:rPr>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23878"/>
    <w:pPr>
      <w:tabs>
        <w:tab w:val="center" w:pos="4153"/>
        <w:tab w:val="right" w:pos="8306"/>
      </w:tabs>
    </w:pPr>
  </w:style>
  <w:style w:type="paragraph" w:styleId="Footer">
    <w:name w:val="footer"/>
    <w:basedOn w:val="Normal"/>
    <w:link w:val="FooterChar"/>
    <w:rsid w:val="00623878"/>
    <w:pPr>
      <w:tabs>
        <w:tab w:val="center" w:pos="4153"/>
        <w:tab w:val="right" w:pos="8306"/>
      </w:tabs>
    </w:pPr>
  </w:style>
  <w:style w:type="paragraph" w:styleId="BodyText2">
    <w:name w:val="Body Text 2"/>
    <w:basedOn w:val="Normal"/>
    <w:rsid w:val="00623878"/>
    <w:pPr>
      <w:spacing w:before="260" w:line="264" w:lineRule="auto"/>
      <w:jc w:val="center"/>
    </w:pPr>
    <w:rPr>
      <w:rFonts w:ascii="Arial" w:hAnsi="Arial" w:cs="Arial"/>
      <w:b/>
      <w:bCs/>
      <w:sz w:val="18"/>
      <w:lang w:val="fr-FR"/>
    </w:rPr>
  </w:style>
  <w:style w:type="paragraph" w:styleId="BodyText3">
    <w:name w:val="Body Text 3"/>
    <w:basedOn w:val="Normal"/>
    <w:rsid w:val="00623878"/>
    <w:pPr>
      <w:spacing w:before="260" w:line="264" w:lineRule="auto"/>
    </w:pPr>
    <w:rPr>
      <w:rFonts w:ascii="Arial" w:hAnsi="Arial" w:cs="Arial"/>
      <w:sz w:val="18"/>
      <w:lang w:val="nl-BE"/>
    </w:rPr>
  </w:style>
  <w:style w:type="paragraph" w:styleId="FootnoteText">
    <w:name w:val="footnote text"/>
    <w:basedOn w:val="Normal"/>
    <w:semiHidden/>
    <w:rsid w:val="00E705EF"/>
    <w:rPr>
      <w:lang w:eastAsia="fr-BE"/>
    </w:rPr>
  </w:style>
  <w:style w:type="character" w:styleId="FootnoteReference">
    <w:name w:val="footnote reference"/>
    <w:basedOn w:val="DefaultParagraphFont"/>
    <w:semiHidden/>
    <w:rsid w:val="00E705EF"/>
    <w:rPr>
      <w:vertAlign w:val="superscript"/>
    </w:rPr>
  </w:style>
  <w:style w:type="character" w:styleId="Hyperlink">
    <w:name w:val="Hyperlink"/>
    <w:basedOn w:val="DefaultParagraphFont"/>
    <w:rsid w:val="002F48FC"/>
    <w:rPr>
      <w:color w:val="0000FF"/>
      <w:u w:val="single"/>
    </w:rPr>
  </w:style>
  <w:style w:type="table" w:styleId="TableGrid">
    <w:name w:val="Table Grid"/>
    <w:basedOn w:val="TableNormal"/>
    <w:rsid w:val="0053410D"/>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5200E"/>
    <w:rPr>
      <w:rFonts w:ascii="Tahoma" w:hAnsi="Tahoma" w:cs="Tahoma"/>
      <w:sz w:val="16"/>
      <w:szCs w:val="16"/>
    </w:rPr>
  </w:style>
  <w:style w:type="character" w:customStyle="1" w:styleId="BalloonTextChar">
    <w:name w:val="Balloon Text Char"/>
    <w:basedOn w:val="DefaultParagraphFont"/>
    <w:link w:val="BalloonText"/>
    <w:rsid w:val="0035200E"/>
    <w:rPr>
      <w:rFonts w:ascii="Tahoma" w:hAnsi="Tahoma" w:cs="Tahoma"/>
      <w:sz w:val="16"/>
      <w:szCs w:val="16"/>
      <w:lang w:val="en-GB" w:eastAsia="en-US"/>
    </w:rPr>
  </w:style>
  <w:style w:type="paragraph" w:styleId="ListParagraph">
    <w:name w:val="List Paragraph"/>
    <w:basedOn w:val="Normal"/>
    <w:uiPriority w:val="34"/>
    <w:qFormat/>
    <w:rsid w:val="00EE097B"/>
    <w:pPr>
      <w:ind w:left="720"/>
      <w:contextualSpacing/>
    </w:pPr>
  </w:style>
  <w:style w:type="character" w:styleId="CommentReference">
    <w:name w:val="annotation reference"/>
    <w:basedOn w:val="DefaultParagraphFont"/>
    <w:rsid w:val="002F69E3"/>
    <w:rPr>
      <w:sz w:val="16"/>
      <w:szCs w:val="16"/>
    </w:rPr>
  </w:style>
  <w:style w:type="paragraph" w:styleId="CommentText">
    <w:name w:val="annotation text"/>
    <w:basedOn w:val="Normal"/>
    <w:link w:val="CommentTextChar"/>
    <w:rsid w:val="002F69E3"/>
  </w:style>
  <w:style w:type="character" w:customStyle="1" w:styleId="CommentTextChar">
    <w:name w:val="Comment Text Char"/>
    <w:basedOn w:val="DefaultParagraphFont"/>
    <w:link w:val="CommentText"/>
    <w:rsid w:val="002F69E3"/>
    <w:rPr>
      <w:lang w:val="en-GB" w:eastAsia="en-US"/>
    </w:rPr>
  </w:style>
  <w:style w:type="paragraph" w:styleId="CommentSubject">
    <w:name w:val="annotation subject"/>
    <w:basedOn w:val="CommentText"/>
    <w:next w:val="CommentText"/>
    <w:link w:val="CommentSubjectChar"/>
    <w:rsid w:val="002F69E3"/>
    <w:rPr>
      <w:b/>
      <w:bCs/>
    </w:rPr>
  </w:style>
  <w:style w:type="character" w:customStyle="1" w:styleId="CommentSubjectChar">
    <w:name w:val="Comment Subject Char"/>
    <w:basedOn w:val="CommentTextChar"/>
    <w:link w:val="CommentSubject"/>
    <w:rsid w:val="002F69E3"/>
    <w:rPr>
      <w:b/>
      <w:bCs/>
      <w:lang w:val="en-GB" w:eastAsia="en-US"/>
    </w:rPr>
  </w:style>
  <w:style w:type="character" w:customStyle="1" w:styleId="FooterChar">
    <w:name w:val="Footer Char"/>
    <w:basedOn w:val="DefaultParagraphFont"/>
    <w:link w:val="Footer"/>
    <w:rsid w:val="00F50B6E"/>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799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febeliec.be" TargetMode="External"/><Relationship Id="rId1" Type="http://schemas.openxmlformats.org/officeDocument/2006/relationships/hyperlink" Target="mailto:info@febeliec.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ebeliec.be" TargetMode="External"/><Relationship Id="rId1" Type="http://schemas.openxmlformats.org/officeDocument/2006/relationships/hyperlink" Target="mailto:febeliec@febeliec.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b\Application%20Data\Microsoft\Templates\Febeliec-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51AC7-86FB-415D-9B5D-E619AD5DBB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Febeliec-letter.dot</Template>
  <TotalTime>0</TotalTime>
  <Pages>2</Pages>
  <Words>1557</Words>
  <Characters>8310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Fedichem</Company>
  <LinksUpToDate>false</LinksUpToDate>
  <CharactersWithSpaces>9848</CharactersWithSpaces>
  <SharedDoc>false</SharedDoc>
  <HLinks>
    <vt:vector size="12" baseType="variant">
      <vt:variant>
        <vt:i4>4522088</vt:i4>
      </vt:variant>
      <vt:variant>
        <vt:i4>3</vt:i4>
      </vt:variant>
      <vt:variant>
        <vt:i4>0</vt:i4>
      </vt:variant>
      <vt:variant>
        <vt:i4>5</vt:i4>
      </vt:variant>
      <vt:variant>
        <vt:lpwstr>mailto:info@febeliec.be</vt:lpwstr>
      </vt:variant>
      <vt:variant>
        <vt:lpwstr/>
      </vt:variant>
      <vt:variant>
        <vt:i4>4522088</vt:i4>
      </vt:variant>
      <vt:variant>
        <vt:i4>0</vt:i4>
      </vt:variant>
      <vt:variant>
        <vt:i4>0</vt:i4>
      </vt:variant>
      <vt:variant>
        <vt:i4>5</vt:i4>
      </vt:variant>
      <vt:variant>
        <vt:lpwstr>mailto:info@febeliec.be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Baerts M.-P.</dc:creator>
  <cp:keywords/>
  <dc:description/>
  <cp:lastModifiedBy>Van Bossuyt Michael</cp:lastModifiedBy>
  <cp:revision>2</cp:revision>
  <cp:lastPrinted>2020-01-24T14:41:00Z</cp:lastPrinted>
  <dcterms:created xsi:type="dcterms:W3CDTF">2020-01-27T06:38:00Z</dcterms:created>
  <dcterms:modified xsi:type="dcterms:W3CDTF">2020-01-27T06:38:00Z</dcterms:modified>
</cp:coreProperties>
</file>