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20" w:rsidRDefault="008A087B" w:rsidP="00524920">
      <w:pPr>
        <w:spacing w:before="240" w:after="0" w:line="240" w:lineRule="auto"/>
        <w:jc w:val="right"/>
        <w:rPr>
          <w:rFonts w:ascii="Arial" w:eastAsia="Times New Roman" w:hAnsi="Arial" w:cs="Arial"/>
          <w:b/>
          <w:bCs/>
          <w:color w:val="000000"/>
        </w:rPr>
      </w:pPr>
      <w:r>
        <w:rPr>
          <w:rFonts w:ascii="Arial" w:eastAsia="Times New Roman" w:hAnsi="Arial" w:cs="Arial"/>
          <w:b/>
          <w:bCs/>
          <w:color w:val="000000"/>
        </w:rPr>
        <w:t>10</w:t>
      </w:r>
      <w:r w:rsidR="0080792F">
        <w:rPr>
          <w:rFonts w:ascii="Arial" w:eastAsia="Times New Roman" w:hAnsi="Arial" w:cs="Arial"/>
          <w:b/>
          <w:bCs/>
          <w:color w:val="000000"/>
          <w:vertAlign w:val="superscript"/>
        </w:rPr>
        <w:t>th</w:t>
      </w:r>
      <w:r w:rsidR="00524920">
        <w:rPr>
          <w:rFonts w:ascii="Arial" w:eastAsia="Times New Roman" w:hAnsi="Arial" w:cs="Arial"/>
          <w:b/>
          <w:bCs/>
          <w:color w:val="000000"/>
        </w:rPr>
        <w:t xml:space="preserve"> March 2020</w:t>
      </w:r>
    </w:p>
    <w:p w:rsidR="00524920" w:rsidRPr="00524920" w:rsidRDefault="00524920" w:rsidP="00524920">
      <w:pPr>
        <w:spacing w:before="240" w:after="0" w:line="240" w:lineRule="auto"/>
        <w:jc w:val="center"/>
        <w:rPr>
          <w:rFonts w:ascii="Arial" w:eastAsia="Times New Roman" w:hAnsi="Arial" w:cs="Arial"/>
          <w:b/>
          <w:bCs/>
          <w:color w:val="000000"/>
        </w:rPr>
      </w:pPr>
      <w:r w:rsidRPr="00524920">
        <w:rPr>
          <w:rFonts w:ascii="Arial" w:eastAsia="Times New Roman" w:hAnsi="Arial" w:cs="Arial"/>
          <w:b/>
          <w:bCs/>
          <w:color w:val="000000"/>
        </w:rPr>
        <w:t>Public consultation on draft ETS State aid Guidelines</w:t>
      </w:r>
    </w:p>
    <w:p w:rsidR="00524920" w:rsidRPr="00524920" w:rsidRDefault="00524920" w:rsidP="00524920">
      <w:pPr>
        <w:spacing w:before="240" w:after="0" w:line="240" w:lineRule="auto"/>
        <w:jc w:val="center"/>
        <w:rPr>
          <w:rFonts w:ascii="Times New Roman" w:eastAsia="Times New Roman" w:hAnsi="Times New Roman" w:cs="Times New Roman"/>
          <w:sz w:val="24"/>
          <w:szCs w:val="24"/>
        </w:rPr>
      </w:pPr>
      <w:r w:rsidRPr="00524920">
        <w:rPr>
          <w:rFonts w:ascii="Arial" w:eastAsia="Times New Roman" w:hAnsi="Arial" w:cs="Arial"/>
          <w:b/>
          <w:bCs/>
          <w:color w:val="000000"/>
        </w:rPr>
        <w:t>Reference HT.582</w:t>
      </w:r>
    </w:p>
    <w:p w:rsidR="00524920" w:rsidRPr="00524920" w:rsidRDefault="00524920" w:rsidP="00524920">
      <w:pPr>
        <w:spacing w:before="240" w:after="240" w:line="240" w:lineRule="auto"/>
        <w:jc w:val="center"/>
        <w:rPr>
          <w:rFonts w:ascii="Times New Roman" w:eastAsia="Times New Roman" w:hAnsi="Times New Roman" w:cs="Times New Roman"/>
          <w:sz w:val="24"/>
          <w:szCs w:val="24"/>
        </w:rPr>
      </w:pPr>
      <w:r w:rsidRPr="00524920">
        <w:rPr>
          <w:rFonts w:ascii="Arial" w:eastAsia="Times New Roman" w:hAnsi="Arial" w:cs="Arial"/>
          <w:b/>
          <w:bCs/>
          <w:color w:val="000000"/>
        </w:rPr>
        <w:t>IFIEC – Europe answer</w:t>
      </w:r>
    </w:p>
    <w:p w:rsidR="00524920" w:rsidRPr="00524920" w:rsidRDefault="00524920" w:rsidP="00524920">
      <w:pPr>
        <w:spacing w:before="240" w:after="12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IFIEC-Europe welcomes the European Commission’s public consultation on the draft guidelines regarding the compensation of indirect costs of the EU ETS for the period 2021-2030</w:t>
      </w:r>
    </w:p>
    <w:p w:rsidR="00524920" w:rsidRPr="00524920" w:rsidRDefault="00524920" w:rsidP="00524920">
      <w:pPr>
        <w:spacing w:before="240" w:after="12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Directive 2003/87/EC of the European Parliament and of the Council established a system for greenhouse gas emission allowance trading within the Union, in order to promote reductions of greenhouse gas emissions in a cost-effective and economically efficient manner. According to Article 10a(6) of the ETS Directive 2018/410, significant indirect ETS costs should be compensated by Member States in order to prevent the risk of carbon leakage that would lead to an increase of global greenhouse gas emissions if production is shifted outside Europe.</w:t>
      </w:r>
    </w:p>
    <w:p w:rsidR="00524920" w:rsidRPr="00524920" w:rsidRDefault="00524920" w:rsidP="00524920">
      <w:pPr>
        <w:spacing w:before="240" w:after="12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The CO</w:t>
      </w:r>
      <w:r w:rsidRPr="00524920">
        <w:rPr>
          <w:rFonts w:ascii="Arial" w:eastAsia="Times New Roman" w:hAnsi="Arial" w:cs="Arial"/>
          <w:color w:val="000000"/>
          <w:vertAlign w:val="subscript"/>
        </w:rPr>
        <w:t>2</w:t>
      </w:r>
      <w:r w:rsidRPr="00524920">
        <w:rPr>
          <w:rFonts w:ascii="Arial" w:eastAsia="Times New Roman" w:hAnsi="Arial" w:cs="Arial"/>
          <w:color w:val="000000"/>
        </w:rPr>
        <w:t xml:space="preserve"> emissions costs passed on in electricity prices severely impact the competitiveness of the European industry, thus increasing the risk of carbon leakage</w:t>
      </w:r>
      <w:r w:rsidR="004D1A98">
        <w:rPr>
          <w:rFonts w:ascii="Arial" w:eastAsia="Times New Roman" w:hAnsi="Arial" w:cs="Arial"/>
          <w:color w:val="000000"/>
        </w:rPr>
        <w:t>.</w:t>
      </w:r>
      <w:r w:rsidR="004D1A98" w:rsidRPr="00524920" w:rsidDel="004D1A98">
        <w:rPr>
          <w:rFonts w:ascii="Arial" w:eastAsia="Times New Roman" w:hAnsi="Arial" w:cs="Arial"/>
          <w:color w:val="000000"/>
        </w:rPr>
        <w:t xml:space="preserve"> </w:t>
      </w:r>
      <w:r w:rsidR="004D1A98">
        <w:rPr>
          <w:rFonts w:ascii="Arial" w:eastAsia="Times New Roman" w:hAnsi="Arial" w:cs="Arial"/>
          <w:color w:val="000000"/>
        </w:rPr>
        <w:t>T</w:t>
      </w:r>
      <w:r w:rsidRPr="00524920">
        <w:rPr>
          <w:rFonts w:ascii="Arial" w:eastAsia="Times New Roman" w:hAnsi="Arial" w:cs="Arial"/>
          <w:color w:val="000000"/>
        </w:rPr>
        <w:t xml:space="preserve">his is a cost which industries outside Europe do not face, and </w:t>
      </w:r>
      <w:r w:rsidR="004D1A98">
        <w:rPr>
          <w:rFonts w:ascii="Arial" w:eastAsia="Times New Roman" w:hAnsi="Arial" w:cs="Arial"/>
          <w:color w:val="000000"/>
        </w:rPr>
        <w:t xml:space="preserve">it </w:t>
      </w:r>
      <w:r w:rsidRPr="00524920">
        <w:rPr>
          <w:rFonts w:ascii="Arial" w:eastAsia="Times New Roman" w:hAnsi="Arial" w:cs="Arial"/>
          <w:color w:val="000000"/>
        </w:rPr>
        <w:t>expos</w:t>
      </w:r>
      <w:r w:rsidR="004D1A98">
        <w:rPr>
          <w:rFonts w:ascii="Arial" w:eastAsia="Times New Roman" w:hAnsi="Arial" w:cs="Arial"/>
          <w:color w:val="000000"/>
        </w:rPr>
        <w:t>es</w:t>
      </w:r>
      <w:r w:rsidRPr="00524920">
        <w:rPr>
          <w:rFonts w:ascii="Arial" w:eastAsia="Times New Roman" w:hAnsi="Arial" w:cs="Arial"/>
          <w:color w:val="000000"/>
        </w:rPr>
        <w:t xml:space="preserve"> Europe to an increase of its carbon footprint due to the imports of products from countries with lower ambition for emission reduction.</w:t>
      </w:r>
    </w:p>
    <w:p w:rsidR="00524920" w:rsidRPr="00524920" w:rsidRDefault="00524920" w:rsidP="00524920">
      <w:pPr>
        <w:spacing w:before="240" w:after="12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 xml:space="preserve">In order to </w:t>
      </w:r>
      <w:r w:rsidR="00333368">
        <w:rPr>
          <w:rFonts w:ascii="Arial" w:eastAsia="Times New Roman" w:hAnsi="Arial" w:cs="Arial"/>
          <w:color w:val="000000"/>
        </w:rPr>
        <w:t>protect</w:t>
      </w:r>
      <w:r w:rsidRPr="00524920">
        <w:rPr>
          <w:rFonts w:ascii="Arial" w:eastAsia="Times New Roman" w:hAnsi="Arial" w:cs="Arial"/>
          <w:color w:val="000000"/>
        </w:rPr>
        <w:t xml:space="preserve"> European industries </w:t>
      </w:r>
      <w:r w:rsidR="00333368">
        <w:rPr>
          <w:rFonts w:ascii="Arial" w:eastAsia="Times New Roman" w:hAnsi="Arial" w:cs="Arial"/>
          <w:color w:val="000000"/>
        </w:rPr>
        <w:t>from carbon leakage</w:t>
      </w:r>
      <w:r w:rsidRPr="00524920">
        <w:rPr>
          <w:rFonts w:ascii="Arial" w:eastAsia="Times New Roman" w:hAnsi="Arial" w:cs="Arial"/>
          <w:color w:val="000000"/>
        </w:rPr>
        <w:t>, IFIEC-Europe recommends:</w:t>
      </w:r>
    </w:p>
    <w:p w:rsidR="00524920" w:rsidRPr="00524920" w:rsidRDefault="00524920" w:rsidP="00524920">
      <w:pPr>
        <w:numPr>
          <w:ilvl w:val="0"/>
          <w:numId w:val="1"/>
        </w:numPr>
        <w:spacing w:before="240" w:after="0" w:line="240" w:lineRule="auto"/>
        <w:jc w:val="both"/>
        <w:textAlignment w:val="baseline"/>
        <w:rPr>
          <w:rFonts w:ascii="Arial" w:eastAsia="Times New Roman" w:hAnsi="Arial" w:cs="Arial"/>
          <w:color w:val="000000"/>
        </w:rPr>
      </w:pPr>
      <w:r w:rsidRPr="00524920">
        <w:rPr>
          <w:rFonts w:ascii="Arial" w:eastAsia="Times New Roman" w:hAnsi="Arial" w:cs="Arial"/>
          <w:color w:val="000000"/>
        </w:rPr>
        <w:t xml:space="preserve">All </w:t>
      </w:r>
      <w:r w:rsidR="008A087B">
        <w:rPr>
          <w:rFonts w:ascii="Arial" w:eastAsia="Times New Roman" w:hAnsi="Arial" w:cs="Arial"/>
          <w:color w:val="000000"/>
        </w:rPr>
        <w:t>industrial</w:t>
      </w:r>
      <w:r w:rsidRPr="00524920">
        <w:rPr>
          <w:rFonts w:ascii="Arial" w:eastAsia="Times New Roman" w:hAnsi="Arial" w:cs="Arial"/>
          <w:color w:val="000000"/>
        </w:rPr>
        <w:t xml:space="preserve"> sectors exposed to a genuine risk of carbon leakage due to </w:t>
      </w:r>
      <w:r w:rsidR="00895244">
        <w:rPr>
          <w:rFonts w:ascii="Arial" w:eastAsia="Times New Roman" w:hAnsi="Arial" w:cs="Arial"/>
          <w:color w:val="000000"/>
        </w:rPr>
        <w:t xml:space="preserve">high exposure to international trade and/or </w:t>
      </w:r>
      <w:r w:rsidRPr="00524920">
        <w:rPr>
          <w:rFonts w:ascii="Arial" w:eastAsia="Times New Roman" w:hAnsi="Arial" w:cs="Arial"/>
          <w:color w:val="000000"/>
        </w:rPr>
        <w:t xml:space="preserve">significant indirect </w:t>
      </w:r>
      <w:r w:rsidR="00941DC6">
        <w:rPr>
          <w:rFonts w:ascii="Arial" w:eastAsia="Times New Roman" w:hAnsi="Arial" w:cs="Arial"/>
          <w:color w:val="000000"/>
        </w:rPr>
        <w:t>ETS</w:t>
      </w:r>
      <w:r w:rsidRPr="00524920">
        <w:rPr>
          <w:rFonts w:ascii="Arial" w:eastAsia="Times New Roman" w:hAnsi="Arial" w:cs="Arial"/>
          <w:color w:val="000000"/>
        </w:rPr>
        <w:t xml:space="preserve"> costs </w:t>
      </w:r>
      <w:r w:rsidR="009E4791">
        <w:rPr>
          <w:rFonts w:ascii="Arial" w:eastAsia="Times New Roman" w:hAnsi="Arial" w:cs="Arial"/>
          <w:color w:val="000000"/>
        </w:rPr>
        <w:t>may</w:t>
      </w:r>
      <w:r w:rsidRPr="00524920">
        <w:rPr>
          <w:rFonts w:ascii="Arial" w:eastAsia="Times New Roman" w:hAnsi="Arial" w:cs="Arial"/>
          <w:color w:val="000000"/>
        </w:rPr>
        <w:t xml:space="preserve"> be eligible for compensation;</w:t>
      </w:r>
    </w:p>
    <w:p w:rsidR="00524920" w:rsidRDefault="004D1A98" w:rsidP="00524920">
      <w:pPr>
        <w:numPr>
          <w:ilvl w:val="0"/>
          <w:numId w:val="1"/>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With e</w:t>
      </w:r>
      <w:r w:rsidR="00524920" w:rsidRPr="00524920">
        <w:rPr>
          <w:rFonts w:ascii="Arial" w:eastAsia="Times New Roman" w:hAnsi="Arial" w:cs="Arial"/>
          <w:color w:val="000000"/>
        </w:rPr>
        <w:t>lectrification being seen as a key technological pathway towards a low-carbon energy-intensive industry, the possibility to include in the list new sectors or sub-sectors, during the period 2021-2030 shall be foreseen;</w:t>
      </w:r>
    </w:p>
    <w:p w:rsidR="009E4791" w:rsidRPr="00524920" w:rsidRDefault="009E4791" w:rsidP="009E4791">
      <w:pPr>
        <w:numPr>
          <w:ilvl w:val="0"/>
          <w:numId w:val="1"/>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An aid intensity capped at 75 % might not be sufficient to ensure an adequate carbon leakage protection. Due to CO</w:t>
      </w:r>
      <w:r w:rsidRPr="00283369">
        <w:rPr>
          <w:rFonts w:ascii="Arial" w:eastAsia="Times New Roman" w:hAnsi="Arial" w:cs="Arial"/>
          <w:color w:val="000000"/>
          <w:vertAlign w:val="subscript"/>
        </w:rPr>
        <w:t>2</w:t>
      </w:r>
      <w:r>
        <w:rPr>
          <w:rFonts w:ascii="Arial" w:eastAsia="Times New Roman" w:hAnsi="Arial" w:cs="Arial"/>
          <w:color w:val="000000"/>
        </w:rPr>
        <w:t xml:space="preserve"> price increase, European industry’s exposure to carbon leakage is on a constant rise. Thus, </w:t>
      </w:r>
      <w:r w:rsidRPr="009E4791">
        <w:rPr>
          <w:rFonts w:ascii="Arial" w:eastAsia="Times New Roman" w:hAnsi="Arial" w:cs="Arial"/>
          <w:color w:val="000000"/>
        </w:rPr>
        <w:t>IFIEC strongly supports the introduction of the new possibility for Member States to further limit the amount of the indirect costs to be paid at undertaking level to a percentage of the GVA of the concerned undertakings, which may reasonably be defined at 0.5%.</w:t>
      </w:r>
    </w:p>
    <w:p w:rsidR="00524920" w:rsidRPr="00524920" w:rsidRDefault="00524920" w:rsidP="00524920">
      <w:pPr>
        <w:numPr>
          <w:ilvl w:val="0"/>
          <w:numId w:val="1"/>
        </w:numPr>
        <w:spacing w:after="0" w:line="240" w:lineRule="auto"/>
        <w:jc w:val="both"/>
        <w:textAlignment w:val="baseline"/>
        <w:rPr>
          <w:rFonts w:ascii="Arial" w:eastAsia="Times New Roman" w:hAnsi="Arial" w:cs="Arial"/>
          <w:color w:val="000000"/>
        </w:rPr>
      </w:pPr>
      <w:r w:rsidRPr="00524920">
        <w:rPr>
          <w:rFonts w:ascii="Arial" w:eastAsia="Times New Roman" w:hAnsi="Arial" w:cs="Arial"/>
          <w:color w:val="000000"/>
        </w:rPr>
        <w:t>The CO</w:t>
      </w:r>
      <w:r w:rsidRPr="00524920">
        <w:rPr>
          <w:rFonts w:ascii="Arial" w:eastAsia="Times New Roman" w:hAnsi="Arial" w:cs="Arial"/>
          <w:color w:val="000000"/>
          <w:sz w:val="13"/>
          <w:szCs w:val="13"/>
          <w:vertAlign w:val="subscript"/>
        </w:rPr>
        <w:t>2</w:t>
      </w:r>
      <w:r w:rsidRPr="00524920">
        <w:rPr>
          <w:rFonts w:ascii="Arial" w:eastAsia="Times New Roman" w:hAnsi="Arial" w:cs="Arial"/>
          <w:color w:val="000000"/>
        </w:rPr>
        <w:t xml:space="preserve"> emission factor should be set per geographic area which encompasses several </w:t>
      </w:r>
      <w:r w:rsidR="00192892">
        <w:rPr>
          <w:rFonts w:ascii="Arial" w:eastAsia="Times New Roman" w:hAnsi="Arial" w:cs="Arial"/>
          <w:color w:val="000000"/>
        </w:rPr>
        <w:t xml:space="preserve">EU </w:t>
      </w:r>
      <w:r w:rsidR="00333368">
        <w:rPr>
          <w:rFonts w:ascii="Arial" w:eastAsia="Times New Roman" w:hAnsi="Arial" w:cs="Arial"/>
          <w:color w:val="000000"/>
        </w:rPr>
        <w:t>M</w:t>
      </w:r>
      <w:r w:rsidRPr="00524920">
        <w:rPr>
          <w:rFonts w:ascii="Arial" w:eastAsia="Times New Roman" w:hAnsi="Arial" w:cs="Arial"/>
          <w:color w:val="000000"/>
        </w:rPr>
        <w:t xml:space="preserve">ember </w:t>
      </w:r>
      <w:r w:rsidR="00333368">
        <w:rPr>
          <w:rFonts w:ascii="Arial" w:eastAsia="Times New Roman" w:hAnsi="Arial" w:cs="Arial"/>
          <w:color w:val="000000"/>
        </w:rPr>
        <w:t>S</w:t>
      </w:r>
      <w:r w:rsidRPr="00524920">
        <w:rPr>
          <w:rFonts w:ascii="Arial" w:eastAsia="Times New Roman" w:hAnsi="Arial" w:cs="Arial"/>
          <w:color w:val="000000"/>
        </w:rPr>
        <w:t xml:space="preserve">tates whose electricity markets are coupled. We </w:t>
      </w:r>
      <w:r w:rsidR="00333368">
        <w:rPr>
          <w:rFonts w:ascii="Arial" w:eastAsia="Times New Roman" w:hAnsi="Arial" w:cs="Arial"/>
          <w:color w:val="000000"/>
        </w:rPr>
        <w:t>do not</w:t>
      </w:r>
      <w:r w:rsidRPr="00524920">
        <w:rPr>
          <w:rFonts w:ascii="Arial" w:eastAsia="Times New Roman" w:hAnsi="Arial" w:cs="Arial"/>
          <w:color w:val="000000"/>
        </w:rPr>
        <w:t xml:space="preserve"> support </w:t>
      </w:r>
      <w:r w:rsidR="004D1A98">
        <w:rPr>
          <w:rFonts w:ascii="Arial" w:eastAsia="Times New Roman" w:hAnsi="Arial" w:cs="Arial"/>
          <w:color w:val="000000"/>
        </w:rPr>
        <w:t>shrinking</w:t>
      </w:r>
      <w:r w:rsidRPr="00524920">
        <w:rPr>
          <w:rFonts w:ascii="Arial" w:eastAsia="Times New Roman" w:hAnsi="Arial" w:cs="Arial"/>
          <w:color w:val="000000"/>
        </w:rPr>
        <w:t xml:space="preserve"> geographical areas</w:t>
      </w:r>
      <w:r w:rsidR="004D1A98">
        <w:rPr>
          <w:rFonts w:ascii="Arial" w:eastAsia="Times New Roman" w:hAnsi="Arial" w:cs="Arial"/>
          <w:color w:val="000000"/>
        </w:rPr>
        <w:t>. This</w:t>
      </w:r>
      <w:r w:rsidRPr="00524920">
        <w:rPr>
          <w:rFonts w:ascii="Arial" w:eastAsia="Times New Roman" w:hAnsi="Arial" w:cs="Arial"/>
          <w:color w:val="000000"/>
        </w:rPr>
        <w:t xml:space="preserve"> is in contradiction to actual market </w:t>
      </w:r>
      <w:r w:rsidR="004D1A98">
        <w:rPr>
          <w:rFonts w:ascii="Arial" w:eastAsia="Times New Roman" w:hAnsi="Arial" w:cs="Arial"/>
          <w:color w:val="000000"/>
        </w:rPr>
        <w:t xml:space="preserve">developments </w:t>
      </w:r>
      <w:r w:rsidRPr="00524920">
        <w:rPr>
          <w:rFonts w:ascii="Arial" w:eastAsia="Times New Roman" w:hAnsi="Arial" w:cs="Arial"/>
          <w:color w:val="000000"/>
        </w:rPr>
        <w:t xml:space="preserve">and </w:t>
      </w:r>
      <w:r w:rsidR="004D1A98">
        <w:rPr>
          <w:rFonts w:ascii="Arial" w:eastAsia="Times New Roman" w:hAnsi="Arial" w:cs="Arial"/>
          <w:color w:val="000000"/>
        </w:rPr>
        <w:t xml:space="preserve">the aim of the </w:t>
      </w:r>
      <w:r w:rsidRPr="00524920">
        <w:rPr>
          <w:rFonts w:ascii="Arial" w:eastAsia="Times New Roman" w:hAnsi="Arial" w:cs="Arial"/>
          <w:color w:val="000000"/>
        </w:rPr>
        <w:t xml:space="preserve">electricity market Directive. It should be at least the same regions as in current legislation, </w:t>
      </w:r>
      <w:r w:rsidR="00E72EDC">
        <w:rPr>
          <w:rFonts w:ascii="Arial" w:eastAsia="Times New Roman" w:hAnsi="Arial" w:cs="Arial"/>
          <w:color w:val="000000"/>
        </w:rPr>
        <w:t>taking into account that the New Market Design spurs market integration in the coming years.</w:t>
      </w:r>
    </w:p>
    <w:p w:rsidR="00524920" w:rsidRPr="00524920" w:rsidRDefault="00E72EDC" w:rsidP="00524920">
      <w:pPr>
        <w:numPr>
          <w:ilvl w:val="0"/>
          <w:numId w:val="1"/>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W</w:t>
      </w:r>
      <w:r w:rsidR="00524920" w:rsidRPr="00524920">
        <w:rPr>
          <w:rFonts w:ascii="Arial" w:eastAsia="Times New Roman" w:hAnsi="Arial" w:cs="Arial"/>
          <w:color w:val="000000"/>
        </w:rPr>
        <w:t xml:space="preserve">e disagree on conditional based compensation </w:t>
      </w:r>
      <w:r w:rsidR="00524920" w:rsidRPr="00007868">
        <w:rPr>
          <w:rFonts w:ascii="Arial" w:eastAsia="Times New Roman" w:hAnsi="Arial" w:cs="Arial"/>
        </w:rPr>
        <w:t xml:space="preserve">given our electro-intensive nature and </w:t>
      </w:r>
      <w:r w:rsidR="00524920" w:rsidRPr="00524920">
        <w:rPr>
          <w:rFonts w:ascii="Arial" w:eastAsia="Times New Roman" w:hAnsi="Arial" w:cs="Arial"/>
          <w:color w:val="000000"/>
        </w:rPr>
        <w:t>the fact that we compete globally based on electricity cost</w:t>
      </w:r>
      <w:r w:rsidR="00524920">
        <w:rPr>
          <w:rFonts w:ascii="Arial" w:eastAsia="Times New Roman" w:hAnsi="Arial" w:cs="Arial"/>
          <w:color w:val="000000"/>
        </w:rPr>
        <w:t>.</w:t>
      </w:r>
      <w:r w:rsidR="00524920" w:rsidRPr="00524920">
        <w:rPr>
          <w:rFonts w:ascii="Arial" w:eastAsia="Times New Roman" w:hAnsi="Arial" w:cs="Arial"/>
          <w:color w:val="000000"/>
        </w:rPr>
        <w:t xml:space="preserve"> </w:t>
      </w:r>
      <w:r w:rsidR="00524920">
        <w:rPr>
          <w:rFonts w:ascii="Arial" w:eastAsia="Times New Roman" w:hAnsi="Arial" w:cs="Arial"/>
          <w:color w:val="000000"/>
        </w:rPr>
        <w:t>T</w:t>
      </w:r>
      <w:r w:rsidR="00524920" w:rsidRPr="00524920">
        <w:rPr>
          <w:rFonts w:ascii="Arial" w:eastAsia="Times New Roman" w:hAnsi="Arial" w:cs="Arial"/>
          <w:color w:val="000000"/>
        </w:rPr>
        <w:t xml:space="preserve">he </w:t>
      </w:r>
      <w:r w:rsidR="00192892">
        <w:rPr>
          <w:rFonts w:ascii="Arial" w:eastAsia="Times New Roman" w:hAnsi="Arial" w:cs="Arial"/>
          <w:color w:val="000000"/>
        </w:rPr>
        <w:t xml:space="preserve">European </w:t>
      </w:r>
      <w:r w:rsidR="00524920" w:rsidRPr="00524920">
        <w:rPr>
          <w:rFonts w:ascii="Arial" w:eastAsia="Times New Roman" w:hAnsi="Arial" w:cs="Arial"/>
          <w:color w:val="000000"/>
        </w:rPr>
        <w:t xml:space="preserve">industry has </w:t>
      </w:r>
      <w:r w:rsidR="00192892">
        <w:rPr>
          <w:rFonts w:ascii="Arial" w:eastAsia="Times New Roman" w:hAnsi="Arial" w:cs="Arial"/>
          <w:color w:val="000000"/>
        </w:rPr>
        <w:t xml:space="preserve">and always had </w:t>
      </w:r>
      <w:r w:rsidR="000627C8">
        <w:rPr>
          <w:rFonts w:ascii="Arial" w:eastAsia="Times New Roman" w:hAnsi="Arial" w:cs="Arial"/>
          <w:color w:val="000000"/>
        </w:rPr>
        <w:t xml:space="preserve">the </w:t>
      </w:r>
      <w:r w:rsidR="00524920" w:rsidRPr="00524920">
        <w:rPr>
          <w:rFonts w:ascii="Arial" w:eastAsia="Times New Roman" w:hAnsi="Arial" w:cs="Arial"/>
          <w:color w:val="000000"/>
        </w:rPr>
        <w:t xml:space="preserve">strongest inherent incentive to be as energy efficient as possible. </w:t>
      </w:r>
      <w:r w:rsidR="000627C8">
        <w:rPr>
          <w:rFonts w:ascii="Arial" w:eastAsia="Times New Roman" w:hAnsi="Arial" w:cs="Arial"/>
          <w:color w:val="000000"/>
        </w:rPr>
        <w:t>I</w:t>
      </w:r>
      <w:r w:rsidR="00524920" w:rsidRPr="00524920">
        <w:rPr>
          <w:rFonts w:ascii="Arial" w:eastAsia="Times New Roman" w:hAnsi="Arial" w:cs="Arial"/>
          <w:color w:val="000000"/>
        </w:rPr>
        <w:t>f such conditions are introduced to receive financial compensation, the conditions shall be set in a realistic and pragmatic way;</w:t>
      </w:r>
    </w:p>
    <w:p w:rsidR="00524920" w:rsidRPr="00524920" w:rsidRDefault="00524920" w:rsidP="00524920">
      <w:pPr>
        <w:numPr>
          <w:ilvl w:val="0"/>
          <w:numId w:val="1"/>
        </w:numPr>
        <w:spacing w:after="120" w:line="240" w:lineRule="auto"/>
        <w:jc w:val="both"/>
        <w:textAlignment w:val="baseline"/>
        <w:rPr>
          <w:rFonts w:ascii="Arial" w:eastAsia="Times New Roman" w:hAnsi="Arial" w:cs="Arial"/>
          <w:color w:val="000000"/>
        </w:rPr>
      </w:pPr>
      <w:r w:rsidRPr="00524920">
        <w:rPr>
          <w:rFonts w:ascii="Arial" w:eastAsia="Times New Roman" w:hAnsi="Arial" w:cs="Arial"/>
          <w:color w:val="000000"/>
        </w:rPr>
        <w:t xml:space="preserve">We disagree that electricity consumption efficiency benchmarks should be linked to the ETS article 10a (2) as an arbitrary yearly decrease will not be based on real data. It </w:t>
      </w:r>
      <w:r w:rsidRPr="00524920">
        <w:rPr>
          <w:rFonts w:ascii="Arial" w:eastAsia="Times New Roman" w:hAnsi="Arial" w:cs="Arial"/>
          <w:color w:val="000000"/>
        </w:rPr>
        <w:lastRenderedPageBreak/>
        <w:t>would result in an arbitrary reduction of the level of compensation, leading to the risk of insufficient protection against the risk of carbon leakage.</w:t>
      </w:r>
    </w:p>
    <w:p w:rsidR="00941DC6" w:rsidRPr="00F65416" w:rsidRDefault="00941DC6" w:rsidP="00941DC6">
      <w:pPr>
        <w:numPr>
          <w:ilvl w:val="0"/>
          <w:numId w:val="1"/>
        </w:numPr>
        <w:spacing w:after="120" w:line="240" w:lineRule="auto"/>
        <w:jc w:val="both"/>
        <w:textAlignment w:val="baseline"/>
        <w:rPr>
          <w:rFonts w:ascii="Arial" w:eastAsia="Times New Roman" w:hAnsi="Arial" w:cs="Arial"/>
          <w:color w:val="000000"/>
        </w:rPr>
      </w:pPr>
      <w:r w:rsidRPr="00F65416">
        <w:rPr>
          <w:rFonts w:ascii="Arial" w:eastAsia="Times New Roman" w:hAnsi="Arial" w:cs="Arial"/>
          <w:color w:val="000000"/>
        </w:rPr>
        <w:t>Indirect ETS cost compensation should ensure a level playing field between outsourced and insourced industrial activities in order not to compromise the efficiency of many industrial processes and facilities.</w:t>
      </w:r>
    </w:p>
    <w:p w:rsidR="00524920" w:rsidRPr="00524920" w:rsidRDefault="00524920" w:rsidP="00524920">
      <w:pPr>
        <w:spacing w:before="240" w:after="12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Indirect CO</w:t>
      </w:r>
      <w:r w:rsidRPr="00524920">
        <w:rPr>
          <w:rFonts w:ascii="Arial" w:eastAsia="Times New Roman" w:hAnsi="Arial" w:cs="Arial"/>
          <w:color w:val="000000"/>
          <w:vertAlign w:val="subscript"/>
        </w:rPr>
        <w:t>2</w:t>
      </w:r>
      <w:r w:rsidRPr="00524920">
        <w:rPr>
          <w:rFonts w:ascii="Arial" w:eastAsia="Times New Roman" w:hAnsi="Arial" w:cs="Arial"/>
          <w:color w:val="000000"/>
        </w:rPr>
        <w:t xml:space="preserve"> costs compensation is an essential </w:t>
      </w:r>
      <w:r w:rsidR="00510B34">
        <w:rPr>
          <w:rFonts w:ascii="Arial" w:eastAsia="Times New Roman" w:hAnsi="Arial" w:cs="Arial"/>
          <w:color w:val="000000"/>
        </w:rPr>
        <w:t>carbon leakage protection</w:t>
      </w:r>
      <w:r w:rsidRPr="00524920">
        <w:rPr>
          <w:rFonts w:ascii="Arial" w:eastAsia="Times New Roman" w:hAnsi="Arial" w:cs="Arial"/>
          <w:color w:val="000000"/>
        </w:rPr>
        <w:t xml:space="preserve"> measure for </w:t>
      </w:r>
      <w:r w:rsidR="008A087B">
        <w:rPr>
          <w:rFonts w:ascii="Arial" w:eastAsia="Times New Roman" w:hAnsi="Arial" w:cs="Arial"/>
          <w:color w:val="000000"/>
        </w:rPr>
        <w:t>European</w:t>
      </w:r>
      <w:r w:rsidRPr="00524920">
        <w:rPr>
          <w:rFonts w:ascii="Arial" w:eastAsia="Times New Roman" w:hAnsi="Arial" w:cs="Arial"/>
          <w:color w:val="000000"/>
        </w:rPr>
        <w:t xml:space="preserve"> industries. Such </w:t>
      </w:r>
      <w:r w:rsidR="000627C8">
        <w:rPr>
          <w:rFonts w:ascii="Arial" w:eastAsia="Times New Roman" w:hAnsi="Arial" w:cs="Arial"/>
          <w:color w:val="000000"/>
        </w:rPr>
        <w:t xml:space="preserve">a </w:t>
      </w:r>
      <w:r w:rsidRPr="00524920">
        <w:rPr>
          <w:rFonts w:ascii="Arial" w:eastAsia="Times New Roman" w:hAnsi="Arial" w:cs="Arial"/>
          <w:color w:val="000000"/>
        </w:rPr>
        <w:t>mechanism will reduce the risk of relocations out of Europe and contribute to maintain and develop a high-performance and competitive industry in Europe that will make it possible to bring out</w:t>
      </w:r>
      <w:r w:rsidR="00895244">
        <w:rPr>
          <w:rFonts w:ascii="Arial" w:eastAsia="Times New Roman" w:hAnsi="Arial" w:cs="Arial"/>
          <w:color w:val="000000"/>
        </w:rPr>
        <w:t>, implement and export</w:t>
      </w:r>
      <w:r w:rsidRPr="00524920">
        <w:rPr>
          <w:rFonts w:ascii="Arial" w:eastAsia="Times New Roman" w:hAnsi="Arial" w:cs="Arial"/>
          <w:color w:val="000000"/>
        </w:rPr>
        <w:t xml:space="preserve"> the solutions of tomorrow to </w:t>
      </w:r>
      <w:r w:rsidR="00895244">
        <w:rPr>
          <w:rFonts w:ascii="Arial" w:eastAsia="Times New Roman" w:hAnsi="Arial" w:cs="Arial"/>
          <w:color w:val="000000"/>
        </w:rPr>
        <w:t>reduce GHG emissions worldwide</w:t>
      </w:r>
      <w:r w:rsidRPr="00524920">
        <w:rPr>
          <w:rFonts w:ascii="Arial" w:eastAsia="Times New Roman" w:hAnsi="Arial" w:cs="Arial"/>
          <w:color w:val="000000"/>
        </w:rPr>
        <w:t>.</w:t>
      </w:r>
    </w:p>
    <w:p w:rsidR="00524920" w:rsidRPr="00524920" w:rsidRDefault="00524920" w:rsidP="00524920">
      <w:pPr>
        <w:spacing w:before="240" w:after="240" w:line="240" w:lineRule="auto"/>
        <w:rPr>
          <w:rFonts w:ascii="Times New Roman" w:eastAsia="Times New Roman" w:hAnsi="Times New Roman" w:cs="Times New Roman"/>
          <w:sz w:val="24"/>
          <w:szCs w:val="24"/>
        </w:rPr>
      </w:pPr>
      <w:r w:rsidRPr="00524920">
        <w:rPr>
          <w:rFonts w:ascii="Arial" w:eastAsia="Times New Roman" w:hAnsi="Arial" w:cs="Arial"/>
          <w:b/>
          <w:bCs/>
          <w:color w:val="000000"/>
          <w:u w:val="single"/>
        </w:rPr>
        <w:t>Eligible sectors</w:t>
      </w:r>
    </w:p>
    <w:p w:rsidR="00941DC6" w:rsidRDefault="00524920" w:rsidP="00524920">
      <w:pPr>
        <w:spacing w:before="240" w:after="120" w:line="240" w:lineRule="auto"/>
        <w:jc w:val="both"/>
        <w:rPr>
          <w:rFonts w:ascii="Arial" w:eastAsia="Times New Roman" w:hAnsi="Arial" w:cs="Arial"/>
          <w:color w:val="000000"/>
        </w:rPr>
      </w:pPr>
      <w:r w:rsidRPr="00524920">
        <w:rPr>
          <w:rFonts w:ascii="Arial" w:eastAsia="Times New Roman" w:hAnsi="Arial" w:cs="Arial"/>
          <w:color w:val="000000"/>
        </w:rPr>
        <w:t>The list of sectors eligible to compensation of indirect CO</w:t>
      </w:r>
      <w:r w:rsidRPr="00524920">
        <w:rPr>
          <w:rFonts w:ascii="Arial" w:eastAsia="Times New Roman" w:hAnsi="Arial" w:cs="Arial"/>
          <w:color w:val="000000"/>
          <w:vertAlign w:val="subscript"/>
        </w:rPr>
        <w:t>2</w:t>
      </w:r>
      <w:r w:rsidRPr="00524920">
        <w:rPr>
          <w:rFonts w:ascii="Arial" w:eastAsia="Times New Roman" w:hAnsi="Arial" w:cs="Arial"/>
          <w:color w:val="000000"/>
        </w:rPr>
        <w:t xml:space="preserve"> costs for the EU ETS </w:t>
      </w:r>
      <w:proofErr w:type="gramStart"/>
      <w:r w:rsidRPr="00524920">
        <w:rPr>
          <w:rFonts w:ascii="Arial" w:eastAsia="Times New Roman" w:hAnsi="Arial" w:cs="Arial"/>
          <w:color w:val="000000"/>
        </w:rPr>
        <w:t>phase</w:t>
      </w:r>
      <w:proofErr w:type="gramEnd"/>
      <w:r w:rsidRPr="00524920">
        <w:rPr>
          <w:rFonts w:ascii="Arial" w:eastAsia="Times New Roman" w:hAnsi="Arial" w:cs="Arial"/>
          <w:color w:val="000000"/>
        </w:rPr>
        <w:t xml:space="preserve"> IV proposed by the European Commission is too restricted. For the next </w:t>
      </w:r>
      <w:r w:rsidR="00192892">
        <w:rPr>
          <w:rFonts w:ascii="Arial" w:eastAsia="Times New Roman" w:hAnsi="Arial" w:cs="Arial"/>
          <w:color w:val="000000"/>
        </w:rPr>
        <w:t xml:space="preserve">EU </w:t>
      </w:r>
      <w:r w:rsidRPr="00524920">
        <w:rPr>
          <w:rFonts w:ascii="Arial" w:eastAsia="Times New Roman" w:hAnsi="Arial" w:cs="Arial"/>
          <w:color w:val="000000"/>
        </w:rPr>
        <w:t xml:space="preserve">ETS period, the new list should include at least the sectors currently eligible, </w:t>
      </w:r>
      <w:r w:rsidR="00192892">
        <w:rPr>
          <w:rFonts w:ascii="Arial" w:eastAsia="Times New Roman" w:hAnsi="Arial" w:cs="Arial"/>
          <w:color w:val="000000"/>
        </w:rPr>
        <w:t xml:space="preserve">due to the fact that these sectors will soon apply electricity-based technologies, whilst </w:t>
      </w:r>
      <w:r w:rsidRPr="00524920">
        <w:rPr>
          <w:rFonts w:ascii="Arial" w:eastAsia="Times New Roman" w:hAnsi="Arial" w:cs="Arial"/>
          <w:color w:val="000000"/>
        </w:rPr>
        <w:t xml:space="preserve">the risk of carbon leakage </w:t>
      </w:r>
      <w:r w:rsidR="00192892">
        <w:rPr>
          <w:rFonts w:ascii="Arial" w:eastAsia="Times New Roman" w:hAnsi="Arial" w:cs="Arial"/>
          <w:color w:val="000000"/>
        </w:rPr>
        <w:t>is increasing with rising prices for European Union Allowances (EUA)</w:t>
      </w:r>
      <w:r w:rsidRPr="00524920">
        <w:rPr>
          <w:rFonts w:ascii="Arial" w:eastAsia="Times New Roman" w:hAnsi="Arial" w:cs="Arial"/>
          <w:color w:val="000000"/>
        </w:rPr>
        <w:t xml:space="preserve">.  </w:t>
      </w:r>
      <w:r w:rsidR="00F12C9E">
        <w:rPr>
          <w:rFonts w:ascii="Arial" w:eastAsia="Times New Roman" w:hAnsi="Arial" w:cs="Arial"/>
          <w:color w:val="000000"/>
        </w:rPr>
        <w:t xml:space="preserve">An additional qualitative </w:t>
      </w:r>
      <w:r w:rsidRPr="00524920">
        <w:rPr>
          <w:rFonts w:ascii="Arial" w:eastAsia="Times New Roman" w:hAnsi="Arial" w:cs="Arial"/>
          <w:color w:val="000000"/>
        </w:rPr>
        <w:t xml:space="preserve">assessment should be done </w:t>
      </w:r>
      <w:r w:rsidR="00F12C9E">
        <w:rPr>
          <w:rFonts w:ascii="Arial" w:eastAsia="Times New Roman" w:hAnsi="Arial" w:cs="Arial"/>
          <w:color w:val="000000"/>
        </w:rPr>
        <w:t xml:space="preserve">to determine whether further sectors are at risk of carbon leakage. This assessment should be conducted </w:t>
      </w:r>
      <w:r w:rsidRPr="00524920">
        <w:rPr>
          <w:rFonts w:ascii="Arial" w:eastAsia="Times New Roman" w:hAnsi="Arial" w:cs="Arial"/>
          <w:color w:val="000000"/>
        </w:rPr>
        <w:t>either at a 4-digit level (NACE-4 code) or at an 8-digit level (</w:t>
      </w:r>
      <w:proofErr w:type="spellStart"/>
      <w:r w:rsidRPr="00524920">
        <w:rPr>
          <w:rFonts w:ascii="Arial" w:eastAsia="Times New Roman" w:hAnsi="Arial" w:cs="Arial"/>
          <w:color w:val="000000"/>
        </w:rPr>
        <w:t>Prodcom</w:t>
      </w:r>
      <w:proofErr w:type="spellEnd"/>
      <w:r w:rsidRPr="00524920">
        <w:rPr>
          <w:rFonts w:ascii="Arial" w:eastAsia="Times New Roman" w:hAnsi="Arial" w:cs="Arial"/>
          <w:color w:val="000000"/>
        </w:rPr>
        <w:t>)</w:t>
      </w:r>
      <w:r w:rsidRPr="00524920">
        <w:rPr>
          <w:rFonts w:ascii="Arial" w:eastAsia="Times New Roman" w:hAnsi="Arial" w:cs="Arial"/>
          <w:color w:val="030404"/>
          <w:sz w:val="19"/>
          <w:szCs w:val="19"/>
        </w:rPr>
        <w:t xml:space="preserve">. </w:t>
      </w:r>
      <w:r w:rsidRPr="00524920">
        <w:rPr>
          <w:rFonts w:ascii="Arial" w:eastAsia="Times New Roman" w:hAnsi="Arial" w:cs="Arial"/>
          <w:color w:val="000000"/>
        </w:rPr>
        <w:t xml:space="preserve">The criteria to apply to determine whether a sector </w:t>
      </w:r>
      <w:r w:rsidRPr="00524920">
        <w:rPr>
          <w:rFonts w:ascii="Arial" w:eastAsia="Times New Roman" w:hAnsi="Arial" w:cs="Arial"/>
          <w:b/>
          <w:bCs/>
          <w:color w:val="000000"/>
        </w:rPr>
        <w:t>or a sub-sector</w:t>
      </w:r>
      <w:r w:rsidRPr="00524920">
        <w:rPr>
          <w:rFonts w:ascii="Arial" w:eastAsia="Times New Roman" w:hAnsi="Arial" w:cs="Arial"/>
          <w:color w:val="000000"/>
        </w:rPr>
        <w:t xml:space="preserve"> is exposed or not to a risk of carbon leakage due to indirect CO</w:t>
      </w:r>
      <w:r w:rsidRPr="00524920">
        <w:rPr>
          <w:rFonts w:ascii="Arial" w:eastAsia="Times New Roman" w:hAnsi="Arial" w:cs="Arial"/>
          <w:color w:val="000000"/>
          <w:vertAlign w:val="subscript"/>
        </w:rPr>
        <w:t>2</w:t>
      </w:r>
      <w:r w:rsidRPr="00524920">
        <w:rPr>
          <w:rFonts w:ascii="Arial" w:eastAsia="Times New Roman" w:hAnsi="Arial" w:cs="Arial"/>
          <w:color w:val="000000"/>
        </w:rPr>
        <w:t xml:space="preserve"> costs sh</w:t>
      </w:r>
      <w:r w:rsidR="000627C8">
        <w:rPr>
          <w:rFonts w:ascii="Arial" w:eastAsia="Times New Roman" w:hAnsi="Arial" w:cs="Arial"/>
          <w:color w:val="000000"/>
        </w:rPr>
        <w:t>ould</w:t>
      </w:r>
      <w:r w:rsidRPr="00524920">
        <w:rPr>
          <w:rFonts w:ascii="Arial" w:eastAsia="Times New Roman" w:hAnsi="Arial" w:cs="Arial"/>
          <w:color w:val="000000"/>
        </w:rPr>
        <w:t xml:space="preserve"> </w:t>
      </w:r>
      <w:proofErr w:type="gramStart"/>
      <w:r w:rsidRPr="00524920">
        <w:rPr>
          <w:rFonts w:ascii="Arial" w:eastAsia="Times New Roman" w:hAnsi="Arial" w:cs="Arial"/>
          <w:color w:val="000000"/>
        </w:rPr>
        <w:t>be  set</w:t>
      </w:r>
      <w:proofErr w:type="gramEnd"/>
      <w:r w:rsidRPr="00524920">
        <w:rPr>
          <w:rFonts w:ascii="Arial" w:eastAsia="Times New Roman" w:hAnsi="Arial" w:cs="Arial"/>
          <w:color w:val="000000"/>
        </w:rPr>
        <w:t xml:space="preserve"> in article 10b of the revised ETS Directive. The two additional criteria (trade intensity higher than 20 % and indirect emission intensity higher than 1 kgCO</w:t>
      </w:r>
      <w:r w:rsidRPr="00524920">
        <w:rPr>
          <w:rFonts w:ascii="Arial" w:eastAsia="Times New Roman" w:hAnsi="Arial" w:cs="Arial"/>
          <w:color w:val="000000"/>
          <w:vertAlign w:val="subscript"/>
        </w:rPr>
        <w:t>2</w:t>
      </w:r>
      <w:r w:rsidRPr="00524920">
        <w:rPr>
          <w:rFonts w:ascii="Arial" w:eastAsia="Times New Roman" w:hAnsi="Arial" w:cs="Arial"/>
          <w:color w:val="000000"/>
        </w:rPr>
        <w:t xml:space="preserve">/EUR) set by the Commission in Annex I of the draft guidelines on State aid measures are not of the same logic as for direct emissions </w:t>
      </w:r>
      <w:r w:rsidR="00E72EDC">
        <w:rPr>
          <w:rFonts w:ascii="Arial" w:eastAsia="Times New Roman" w:hAnsi="Arial" w:cs="Arial"/>
          <w:color w:val="000000"/>
        </w:rPr>
        <w:t xml:space="preserve">and </w:t>
      </w:r>
      <w:r w:rsidRPr="00524920">
        <w:rPr>
          <w:rFonts w:ascii="Arial" w:eastAsia="Times New Roman" w:hAnsi="Arial" w:cs="Arial"/>
          <w:color w:val="000000"/>
        </w:rPr>
        <w:t>sh</w:t>
      </w:r>
      <w:r w:rsidR="000627C8">
        <w:rPr>
          <w:rFonts w:ascii="Arial" w:eastAsia="Times New Roman" w:hAnsi="Arial" w:cs="Arial"/>
          <w:color w:val="000000"/>
        </w:rPr>
        <w:t>ould</w:t>
      </w:r>
      <w:r w:rsidRPr="00524920">
        <w:rPr>
          <w:rFonts w:ascii="Arial" w:eastAsia="Times New Roman" w:hAnsi="Arial" w:cs="Arial"/>
          <w:color w:val="000000"/>
        </w:rPr>
        <w:t xml:space="preserve"> </w:t>
      </w:r>
      <w:r w:rsidR="000627C8">
        <w:rPr>
          <w:rFonts w:ascii="Arial" w:eastAsia="Times New Roman" w:hAnsi="Arial" w:cs="Arial"/>
          <w:color w:val="000000"/>
        </w:rPr>
        <w:t xml:space="preserve">therefore </w:t>
      </w:r>
      <w:r w:rsidRPr="00524920">
        <w:rPr>
          <w:rFonts w:ascii="Arial" w:eastAsia="Times New Roman" w:hAnsi="Arial" w:cs="Arial"/>
          <w:color w:val="000000"/>
        </w:rPr>
        <w:t xml:space="preserve">not be applied. </w:t>
      </w:r>
      <w:r w:rsidR="00941DC6" w:rsidRPr="00941DC6">
        <w:rPr>
          <w:rFonts w:ascii="Arial" w:eastAsia="Times New Roman" w:hAnsi="Arial" w:cs="Arial"/>
          <w:color w:val="000000"/>
        </w:rPr>
        <w:t>Moreover the “Assessm</w:t>
      </w:r>
      <w:r w:rsidR="00941DC6">
        <w:rPr>
          <w:rFonts w:ascii="Arial" w:eastAsia="Times New Roman" w:hAnsi="Arial" w:cs="Arial"/>
          <w:color w:val="000000"/>
        </w:rPr>
        <w:t>e</w:t>
      </w:r>
      <w:r w:rsidR="00941DC6" w:rsidRPr="00941DC6">
        <w:rPr>
          <w:rFonts w:ascii="Arial" w:eastAsia="Times New Roman" w:hAnsi="Arial" w:cs="Arial"/>
          <w:color w:val="000000"/>
        </w:rPr>
        <w:t>nt support study on ETS State Aid Guidelines” introduces a further quality criterion (RAG rating) not provided for the ETS Directive and not clear and transparent in definition and evaluation.</w:t>
      </w:r>
    </w:p>
    <w:p w:rsidR="00524920" w:rsidRPr="00524920" w:rsidRDefault="00895244" w:rsidP="00524920">
      <w:pPr>
        <w:spacing w:before="240" w:after="120" w:line="240" w:lineRule="auto"/>
        <w:jc w:val="both"/>
        <w:rPr>
          <w:rFonts w:ascii="Times New Roman" w:eastAsia="Times New Roman" w:hAnsi="Times New Roman" w:cs="Times New Roman"/>
          <w:sz w:val="24"/>
          <w:szCs w:val="24"/>
        </w:rPr>
      </w:pPr>
      <w:r>
        <w:rPr>
          <w:rFonts w:ascii="Arial" w:eastAsia="Times New Roman" w:hAnsi="Arial" w:cs="Arial"/>
          <w:color w:val="000000"/>
        </w:rPr>
        <w:t xml:space="preserve">Due to </w:t>
      </w:r>
      <w:r w:rsidR="00283369">
        <w:rPr>
          <w:rFonts w:ascii="Arial" w:eastAsia="Times New Roman" w:hAnsi="Arial" w:cs="Arial"/>
          <w:color w:val="000000"/>
        </w:rPr>
        <w:t>imperfections</w:t>
      </w:r>
      <w:r>
        <w:rPr>
          <w:rFonts w:ascii="Arial" w:eastAsia="Times New Roman" w:hAnsi="Arial" w:cs="Arial"/>
          <w:color w:val="000000"/>
        </w:rPr>
        <w:t xml:space="preserve"> in statistical data, it is important that sectors or sub-sectors not qualifying for the quantitative threshold should get the opportunity for a qualitative assessment. </w:t>
      </w:r>
      <w:r w:rsidR="00524920" w:rsidRPr="00524920">
        <w:rPr>
          <w:rFonts w:ascii="Arial" w:eastAsia="Times New Roman" w:hAnsi="Arial" w:cs="Arial"/>
          <w:color w:val="000000"/>
        </w:rPr>
        <w:t xml:space="preserve">Sectors or sub-sectors, for which indirect carbon leakage indicator exceeds </w:t>
      </w:r>
      <w:proofErr w:type="gramStart"/>
      <w:r w:rsidR="00524920" w:rsidRPr="00524920">
        <w:rPr>
          <w:rFonts w:ascii="Arial" w:eastAsia="Times New Roman" w:hAnsi="Arial" w:cs="Arial"/>
          <w:color w:val="000000"/>
        </w:rPr>
        <w:t>0.15</w:t>
      </w:r>
      <w:proofErr w:type="gramEnd"/>
      <w:r w:rsidR="00524920" w:rsidRPr="00524920">
        <w:rPr>
          <w:rFonts w:ascii="Arial" w:eastAsia="Times New Roman" w:hAnsi="Arial" w:cs="Arial"/>
          <w:color w:val="000000"/>
        </w:rPr>
        <w:t xml:space="preserve"> </w:t>
      </w:r>
      <w:r w:rsidR="000627C8">
        <w:rPr>
          <w:rFonts w:ascii="Arial" w:eastAsia="Times New Roman" w:hAnsi="Arial" w:cs="Arial"/>
          <w:color w:val="000000"/>
        </w:rPr>
        <w:t>should</w:t>
      </w:r>
      <w:r w:rsidR="00524920" w:rsidRPr="00524920">
        <w:rPr>
          <w:rFonts w:ascii="Arial" w:eastAsia="Times New Roman" w:hAnsi="Arial" w:cs="Arial"/>
          <w:color w:val="000000"/>
        </w:rPr>
        <w:t xml:space="preserve"> be included in the eligible list on the basis of a qualitative assessment. This qualitative assessment sh</w:t>
      </w:r>
      <w:r w:rsidR="00E72EDC">
        <w:rPr>
          <w:rFonts w:ascii="Arial" w:eastAsia="Times New Roman" w:hAnsi="Arial" w:cs="Arial"/>
          <w:color w:val="000000"/>
        </w:rPr>
        <w:t>ould</w:t>
      </w:r>
      <w:r w:rsidR="00524920" w:rsidRPr="00524920">
        <w:rPr>
          <w:rFonts w:ascii="Arial" w:eastAsia="Times New Roman" w:hAnsi="Arial" w:cs="Arial"/>
          <w:color w:val="000000"/>
        </w:rPr>
        <w:t xml:space="preserve"> be </w:t>
      </w:r>
      <w:r w:rsidR="00E72EDC">
        <w:rPr>
          <w:rFonts w:ascii="Arial" w:eastAsia="Times New Roman" w:hAnsi="Arial" w:cs="Arial"/>
          <w:color w:val="000000"/>
        </w:rPr>
        <w:t>based</w:t>
      </w:r>
      <w:r w:rsidR="00524920" w:rsidRPr="00524920">
        <w:rPr>
          <w:rFonts w:ascii="Arial" w:eastAsia="Times New Roman" w:hAnsi="Arial" w:cs="Arial"/>
          <w:color w:val="000000"/>
        </w:rPr>
        <w:t xml:space="preserve"> </w:t>
      </w:r>
      <w:r w:rsidR="00E72EDC">
        <w:rPr>
          <w:rFonts w:ascii="Arial" w:eastAsia="Times New Roman" w:hAnsi="Arial" w:cs="Arial"/>
          <w:color w:val="000000"/>
        </w:rPr>
        <w:t>o</w:t>
      </w:r>
      <w:r w:rsidR="00524920" w:rsidRPr="00524920">
        <w:rPr>
          <w:rFonts w:ascii="Arial" w:eastAsia="Times New Roman" w:hAnsi="Arial" w:cs="Arial"/>
          <w:color w:val="000000"/>
        </w:rPr>
        <w:t>n a transparent</w:t>
      </w:r>
      <w:r w:rsidR="00E72EDC">
        <w:rPr>
          <w:rFonts w:ascii="Arial" w:eastAsia="Times New Roman" w:hAnsi="Arial" w:cs="Arial"/>
          <w:color w:val="000000"/>
        </w:rPr>
        <w:t xml:space="preserve">, structured approach similar to the logic applied in phase III. </w:t>
      </w:r>
      <w:r w:rsidR="00F834FB" w:rsidRPr="007456FE">
        <w:rPr>
          <w:rFonts w:ascii="Arial" w:eastAsia="Times New Roman" w:hAnsi="Arial" w:cs="Arial"/>
          <w:color w:val="000000"/>
        </w:rPr>
        <w:t>Therefor</w:t>
      </w:r>
      <w:r w:rsidR="00F834FB">
        <w:rPr>
          <w:rFonts w:ascii="Arial" w:eastAsia="Times New Roman" w:hAnsi="Arial" w:cs="Arial"/>
          <w:color w:val="000000"/>
        </w:rPr>
        <w:t>e</w:t>
      </w:r>
      <w:r w:rsidR="00F834FB" w:rsidRPr="007456FE">
        <w:rPr>
          <w:rFonts w:ascii="Arial" w:eastAsia="Times New Roman" w:hAnsi="Arial" w:cs="Arial"/>
          <w:color w:val="000000"/>
        </w:rPr>
        <w:t xml:space="preserve"> trade intensity and the fuel and electricity exchangeability are important elements to consider in the quali</w:t>
      </w:r>
      <w:r w:rsidR="00F834FB">
        <w:rPr>
          <w:rFonts w:ascii="Arial" w:eastAsia="Times New Roman" w:hAnsi="Arial" w:cs="Arial"/>
          <w:color w:val="000000"/>
        </w:rPr>
        <w:t>ta</w:t>
      </w:r>
      <w:r w:rsidR="00F834FB" w:rsidRPr="007456FE">
        <w:rPr>
          <w:rFonts w:ascii="Arial" w:eastAsia="Times New Roman" w:hAnsi="Arial" w:cs="Arial"/>
          <w:color w:val="000000"/>
        </w:rPr>
        <w:t>tive assessment.</w:t>
      </w:r>
      <w:r w:rsidR="00941DC6" w:rsidRPr="00941DC6">
        <w:rPr>
          <w:rFonts w:ascii="Arial" w:eastAsia="Times New Roman" w:hAnsi="Arial" w:cs="Arial"/>
          <w:color w:val="000000"/>
        </w:rPr>
        <w:t xml:space="preserve"> </w:t>
      </w:r>
      <w:r w:rsidR="00941DC6" w:rsidRPr="00524920">
        <w:rPr>
          <w:rFonts w:ascii="Arial" w:eastAsia="Times New Roman" w:hAnsi="Arial" w:cs="Arial"/>
          <w:color w:val="000000"/>
        </w:rPr>
        <w:t>.</w:t>
      </w:r>
      <w:r w:rsidR="00941DC6">
        <w:rPr>
          <w:rFonts w:ascii="Arial" w:eastAsia="Times New Roman" w:hAnsi="Arial" w:cs="Arial"/>
          <w:color w:val="000000"/>
        </w:rPr>
        <w:t xml:space="preserve"> The presence of a Sector or sub-sector in the EEAG Annex 3 list should be considered as an element of eligibility in order to have a consistent policy to limit risk of industrial activities relocation (and thereby carbon leakage).</w:t>
      </w:r>
    </w:p>
    <w:p w:rsidR="00524920" w:rsidRPr="00524920" w:rsidRDefault="00524920" w:rsidP="00524920">
      <w:pPr>
        <w:spacing w:before="240" w:after="12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The possibility to include in the list new sectors or sub-sectors, during the period 2021-2030 sh</w:t>
      </w:r>
      <w:r w:rsidR="000627C8">
        <w:rPr>
          <w:rFonts w:ascii="Arial" w:eastAsia="Times New Roman" w:hAnsi="Arial" w:cs="Arial"/>
          <w:color w:val="000000"/>
        </w:rPr>
        <w:t>ould</w:t>
      </w:r>
      <w:r w:rsidRPr="00524920">
        <w:rPr>
          <w:rFonts w:ascii="Arial" w:eastAsia="Times New Roman" w:hAnsi="Arial" w:cs="Arial"/>
          <w:color w:val="000000"/>
        </w:rPr>
        <w:t xml:space="preserve"> be foreseen. </w:t>
      </w:r>
      <w:r w:rsidR="00F12C9E">
        <w:rPr>
          <w:rFonts w:ascii="Arial" w:eastAsia="Times New Roman" w:hAnsi="Arial" w:cs="Arial"/>
          <w:color w:val="000000"/>
        </w:rPr>
        <w:t>As described above e</w:t>
      </w:r>
      <w:r w:rsidRPr="00524920">
        <w:rPr>
          <w:rFonts w:ascii="Arial" w:eastAsia="Times New Roman" w:hAnsi="Arial" w:cs="Arial"/>
          <w:color w:val="000000"/>
        </w:rPr>
        <w:t>lectrification is seen as a key technological pathway towards a low-carbon energy-intensive industry</w:t>
      </w:r>
      <w:r w:rsidR="000627C8">
        <w:rPr>
          <w:rFonts w:ascii="Arial" w:eastAsia="Times New Roman" w:hAnsi="Arial" w:cs="Arial"/>
          <w:color w:val="000000"/>
        </w:rPr>
        <w:t xml:space="preserve"> and potentially an important instrument to contribute to decarbonizing the energy system</w:t>
      </w:r>
      <w:r w:rsidRPr="00524920">
        <w:rPr>
          <w:rFonts w:ascii="Arial" w:eastAsia="Times New Roman" w:hAnsi="Arial" w:cs="Arial"/>
          <w:color w:val="000000"/>
        </w:rPr>
        <w:t xml:space="preserve">. After such a transition, with </w:t>
      </w:r>
      <w:r w:rsidR="00895244">
        <w:rPr>
          <w:rFonts w:ascii="Arial" w:eastAsia="Times New Roman" w:hAnsi="Arial" w:cs="Arial"/>
          <w:color w:val="000000"/>
        </w:rPr>
        <w:t xml:space="preserve">inter alia </w:t>
      </w:r>
      <w:r w:rsidRPr="00524920">
        <w:rPr>
          <w:rFonts w:ascii="Arial" w:eastAsia="Times New Roman" w:hAnsi="Arial" w:cs="Arial"/>
          <w:color w:val="000000"/>
        </w:rPr>
        <w:t xml:space="preserve">higher electricity consumption, some sectors or sub-sectors not eligible today would become exposed to carbon leakage. Not foreseeing this provision would </w:t>
      </w:r>
      <w:r w:rsidR="00895244">
        <w:rPr>
          <w:rFonts w:ascii="Arial" w:eastAsia="Times New Roman" w:hAnsi="Arial" w:cs="Arial"/>
          <w:color w:val="000000"/>
        </w:rPr>
        <w:t xml:space="preserve">hamper </w:t>
      </w:r>
      <w:r w:rsidRPr="00524920">
        <w:rPr>
          <w:rFonts w:ascii="Arial" w:eastAsia="Times New Roman" w:hAnsi="Arial" w:cs="Arial"/>
          <w:color w:val="000000"/>
        </w:rPr>
        <w:t xml:space="preserve">the </w:t>
      </w:r>
      <w:proofErr w:type="spellStart"/>
      <w:r w:rsidRPr="00524920">
        <w:rPr>
          <w:rFonts w:ascii="Arial" w:eastAsia="Times New Roman" w:hAnsi="Arial" w:cs="Arial"/>
          <w:color w:val="000000"/>
        </w:rPr>
        <w:t>decarbonation</w:t>
      </w:r>
      <w:proofErr w:type="spellEnd"/>
      <w:r w:rsidRPr="00524920">
        <w:rPr>
          <w:rFonts w:ascii="Arial" w:eastAsia="Times New Roman" w:hAnsi="Arial" w:cs="Arial"/>
          <w:color w:val="000000"/>
        </w:rPr>
        <w:t xml:space="preserve"> of industry by electrification</w:t>
      </w:r>
      <w:r w:rsidR="000627C8">
        <w:rPr>
          <w:rFonts w:ascii="Arial" w:eastAsia="Times New Roman" w:hAnsi="Arial" w:cs="Arial"/>
          <w:color w:val="000000"/>
        </w:rPr>
        <w:t xml:space="preserve"> and its potential contribution to a larger renewable share in the electricity mix</w:t>
      </w:r>
      <w:r w:rsidRPr="00524920">
        <w:rPr>
          <w:rFonts w:ascii="Arial" w:eastAsia="Times New Roman" w:hAnsi="Arial" w:cs="Arial"/>
          <w:color w:val="000000"/>
        </w:rPr>
        <w:t>.</w:t>
      </w:r>
    </w:p>
    <w:p w:rsidR="00524920" w:rsidRPr="00524920" w:rsidRDefault="00524920" w:rsidP="00524920">
      <w:pPr>
        <w:spacing w:before="240" w:after="120" w:line="240" w:lineRule="auto"/>
        <w:rPr>
          <w:rFonts w:ascii="Times New Roman" w:eastAsia="Times New Roman" w:hAnsi="Times New Roman" w:cs="Times New Roman"/>
          <w:sz w:val="24"/>
          <w:szCs w:val="24"/>
        </w:rPr>
      </w:pPr>
      <w:r w:rsidRPr="00524920">
        <w:rPr>
          <w:rFonts w:ascii="Arial" w:eastAsia="Times New Roman" w:hAnsi="Arial" w:cs="Arial"/>
          <w:b/>
          <w:bCs/>
          <w:color w:val="000000"/>
          <w:u w:val="single"/>
        </w:rPr>
        <w:t>CO</w:t>
      </w:r>
      <w:r w:rsidRPr="00524920">
        <w:rPr>
          <w:rFonts w:ascii="Arial" w:eastAsia="Times New Roman" w:hAnsi="Arial" w:cs="Arial"/>
          <w:b/>
          <w:bCs/>
          <w:color w:val="000000"/>
          <w:u w:val="single"/>
          <w:vertAlign w:val="subscript"/>
        </w:rPr>
        <w:t>2</w:t>
      </w:r>
      <w:r w:rsidRPr="00524920">
        <w:rPr>
          <w:rFonts w:ascii="Arial" w:eastAsia="Times New Roman" w:hAnsi="Arial" w:cs="Arial"/>
          <w:b/>
          <w:bCs/>
          <w:color w:val="000000"/>
          <w:u w:val="single"/>
        </w:rPr>
        <w:t xml:space="preserve"> emission factor and geographical areas</w:t>
      </w:r>
    </w:p>
    <w:p w:rsidR="00524920" w:rsidRPr="00524920" w:rsidRDefault="00524920" w:rsidP="00524920">
      <w:pPr>
        <w:pStyle w:val="ListParagraph"/>
        <w:numPr>
          <w:ilvl w:val="0"/>
          <w:numId w:val="3"/>
        </w:numPr>
        <w:spacing w:before="240" w:after="120" w:line="240" w:lineRule="auto"/>
        <w:jc w:val="both"/>
        <w:rPr>
          <w:rFonts w:ascii="Arial" w:eastAsia="Times New Roman" w:hAnsi="Arial" w:cs="Arial"/>
          <w:i/>
          <w:color w:val="000000"/>
        </w:rPr>
      </w:pPr>
      <w:r w:rsidRPr="00524920">
        <w:rPr>
          <w:rFonts w:ascii="Arial" w:eastAsia="Times New Roman" w:hAnsi="Arial" w:cs="Arial"/>
          <w:i/>
          <w:color w:val="000000"/>
        </w:rPr>
        <w:t>Geographical areas</w:t>
      </w:r>
    </w:p>
    <w:p w:rsidR="00524920" w:rsidRPr="00524920" w:rsidRDefault="00524920" w:rsidP="00524920">
      <w:pPr>
        <w:spacing w:before="240" w:after="12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lastRenderedPageBreak/>
        <w:t>Since the liberalization of the electricity market in Europe, transmission system operators have been investing in new interconnection capacities. Regional markets are more and more coupled. There is no reason to set a narrower zone as for the period 2013-2020.</w:t>
      </w:r>
    </w:p>
    <w:p w:rsidR="00524920" w:rsidRPr="00524920" w:rsidRDefault="00524920" w:rsidP="00524920">
      <w:pPr>
        <w:spacing w:before="240" w:after="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The draft State Aid Guidelines propose a fragmentation of the current Guidelines’ power market regions. The justification is an assessment in a report accompanying the draft Guidelines that price convergence in the Central and Western Europe (CWE) and Nordic zones has decreased.</w:t>
      </w:r>
      <w:r>
        <w:rPr>
          <w:rFonts w:ascii="Arial" w:eastAsia="Times New Roman" w:hAnsi="Arial" w:cs="Arial"/>
          <w:color w:val="000000"/>
        </w:rPr>
        <w:t xml:space="preserve"> </w:t>
      </w:r>
      <w:r w:rsidRPr="00524920">
        <w:rPr>
          <w:rFonts w:ascii="Arial" w:eastAsia="Times New Roman" w:hAnsi="Arial" w:cs="Arial"/>
          <w:color w:val="000000"/>
        </w:rPr>
        <w:t>This is hard to follow</w:t>
      </w:r>
      <w:r w:rsidR="00D93A16">
        <w:rPr>
          <w:rFonts w:ascii="Arial" w:eastAsia="Times New Roman" w:hAnsi="Arial" w:cs="Arial"/>
          <w:color w:val="000000"/>
        </w:rPr>
        <w:t xml:space="preserve"> and contradicts our own internal analysis</w:t>
      </w:r>
      <w:r w:rsidRPr="00524920">
        <w:rPr>
          <w:rFonts w:ascii="Arial" w:eastAsia="Times New Roman" w:hAnsi="Arial" w:cs="Arial"/>
          <w:color w:val="000000"/>
        </w:rPr>
        <w:t xml:space="preserve">. </w:t>
      </w:r>
      <w:r w:rsidR="00D93A16">
        <w:rPr>
          <w:rFonts w:ascii="Arial" w:eastAsia="Times New Roman" w:hAnsi="Arial" w:cs="Arial"/>
          <w:color w:val="000000"/>
        </w:rPr>
        <w:t>Indeed, c</w:t>
      </w:r>
      <w:r w:rsidRPr="00524920">
        <w:rPr>
          <w:rFonts w:ascii="Arial" w:eastAsia="Times New Roman" w:hAnsi="Arial" w:cs="Arial"/>
          <w:color w:val="000000"/>
        </w:rPr>
        <w:t>ross-border interconnector capacity has consistently increased in the last ten years, and the improved physical connection is amplified by an increased use of flow-based market coupling. An empirical examination of day-ahead power prices shows more price convergence</w:t>
      </w:r>
      <w:r w:rsidR="00F834FB">
        <w:rPr>
          <w:rFonts w:ascii="Arial" w:eastAsia="Times New Roman" w:hAnsi="Arial" w:cs="Arial"/>
          <w:color w:val="000000"/>
        </w:rPr>
        <w:t xml:space="preserve"> and correlation</w:t>
      </w:r>
      <w:r w:rsidRPr="00524920">
        <w:rPr>
          <w:rFonts w:ascii="Arial" w:eastAsia="Times New Roman" w:hAnsi="Arial" w:cs="Arial"/>
          <w:color w:val="000000"/>
        </w:rPr>
        <w:t>, not less, in most countries.</w:t>
      </w:r>
    </w:p>
    <w:p w:rsidR="00524920" w:rsidRDefault="00524920" w:rsidP="00524920">
      <w:pPr>
        <w:spacing w:before="240" w:after="0" w:line="240" w:lineRule="auto"/>
        <w:jc w:val="both"/>
        <w:rPr>
          <w:rFonts w:ascii="Arial" w:eastAsia="Times New Roman" w:hAnsi="Arial" w:cs="Arial"/>
          <w:color w:val="000000"/>
        </w:rPr>
      </w:pPr>
      <w:r w:rsidRPr="00524920">
        <w:rPr>
          <w:rFonts w:ascii="Arial" w:eastAsia="Times New Roman" w:hAnsi="Arial" w:cs="Arial"/>
          <w:color w:val="000000"/>
        </w:rPr>
        <w:t xml:space="preserve">The best metric for measuring price homogeneity is not the absolute price difference between the markets, but the covariance between them. The reason for this is that two neighboring markets are often structurally different and thus have a fundamentally different price level. This can, for instance, be due to different generation sources. </w:t>
      </w:r>
      <w:r w:rsidR="00895244">
        <w:rPr>
          <w:rFonts w:ascii="Arial" w:eastAsia="Times New Roman" w:hAnsi="Arial" w:cs="Arial"/>
          <w:color w:val="000000"/>
        </w:rPr>
        <w:t xml:space="preserve">Further market improvement measures as planned and pushed by electricity legislation and further investments in transmission capacity will alleviate structural price differences and further improve market coupling (covariance). </w:t>
      </w:r>
      <w:r w:rsidRPr="00524920">
        <w:rPr>
          <w:rFonts w:ascii="Arial" w:eastAsia="Times New Roman" w:hAnsi="Arial" w:cs="Arial"/>
          <w:color w:val="000000"/>
        </w:rPr>
        <w:t>Such markets will not have equal prices until the transmission capacity between them is not a limiting factor and all bottlenecks are removed. This is not economically viable as it would require excessive investments in transmission capacity and it is also not the case internally in countries, where there are many bottlenecks at any time, but the price is kept equal through interventions in the power market.</w:t>
      </w:r>
    </w:p>
    <w:p w:rsidR="00F20B48" w:rsidRPr="00F20B48" w:rsidRDefault="00F20B48" w:rsidP="00F20B48">
      <w:pPr>
        <w:spacing w:before="240" w:after="0" w:line="240" w:lineRule="auto"/>
        <w:jc w:val="both"/>
        <w:rPr>
          <w:rFonts w:ascii="Arial" w:eastAsia="Times New Roman" w:hAnsi="Arial" w:cs="Arial"/>
          <w:color w:val="000000"/>
        </w:rPr>
      </w:pPr>
      <w:r>
        <w:rPr>
          <w:rFonts w:ascii="Arial" w:eastAsia="Times New Roman" w:hAnsi="Arial" w:cs="Arial"/>
          <w:color w:val="000000"/>
        </w:rPr>
        <w:t xml:space="preserve">This is also confirmed in the </w:t>
      </w:r>
      <w:r w:rsidRPr="00F20B48">
        <w:rPr>
          <w:rFonts w:ascii="Arial" w:eastAsia="Times New Roman" w:hAnsi="Arial" w:cs="Arial"/>
          <w:color w:val="000000"/>
        </w:rPr>
        <w:t xml:space="preserve"> Report form the Commission and the European Parliament, the Council, the European Economic and Social Committee and the Committee of the Regions - Energy prices and costs in Europe</w:t>
      </w:r>
      <w:r w:rsidRPr="00F20B48">
        <w:rPr>
          <w:color w:val="000000"/>
        </w:rPr>
        <w:footnoteReference w:id="1"/>
      </w:r>
      <w:r w:rsidRPr="00F20B48">
        <w:rPr>
          <w:rFonts w:ascii="Arial" w:eastAsia="Times New Roman" w:hAnsi="Arial" w:cs="Arial"/>
          <w:color w:val="000000"/>
        </w:rPr>
        <w:t xml:space="preserve"> -: “In the wholesale electricity market, increasing market coupling and interconnectors are clearly creating price convergence (an indication of more efficient markets), except during extreme price spikes and troughs when local supply differences are too great to be bridged across Member States.” and “First, the creation of the single market helps to protect the EU from volatile prices affecting an individual Member State. With interconnections, (…), coupled markets and dynamic pricing, flexibility and growing trade between Member States provide a buffer against international price spikes. The broadly growing convergence in prices across Member States suggests that these efforts are bearing fruit.”</w:t>
      </w:r>
    </w:p>
    <w:p w:rsidR="00524920" w:rsidRPr="00524920" w:rsidRDefault="00524920" w:rsidP="00524920">
      <w:pPr>
        <w:spacing w:before="240" w:after="24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 xml:space="preserve">As there is no price intervention to equalize the price between countries, there will occasionally be some price differences even between similar and well-connected markets </w:t>
      </w:r>
      <w:r w:rsidR="00192892">
        <w:rPr>
          <w:rFonts w:ascii="Arial" w:eastAsia="Times New Roman" w:hAnsi="Arial" w:cs="Arial"/>
          <w:color w:val="000000"/>
        </w:rPr>
        <w:t>since</w:t>
      </w:r>
      <w:r w:rsidRPr="00524920">
        <w:rPr>
          <w:rFonts w:ascii="Arial" w:eastAsia="Times New Roman" w:hAnsi="Arial" w:cs="Arial"/>
          <w:color w:val="000000"/>
        </w:rPr>
        <w:t xml:space="preserve"> transmission capacity is not unlimited all the time. The most accurate metric for integration between power markets is an indication of how much they affect each other, i.e. evaluating how prices correlate. This measures how the price in one market influences the price in another and thus also to which extent the CO</w:t>
      </w:r>
      <w:r w:rsidRPr="00524920">
        <w:rPr>
          <w:rFonts w:ascii="Arial" w:eastAsia="Times New Roman" w:hAnsi="Arial" w:cs="Arial"/>
          <w:color w:val="000000"/>
          <w:sz w:val="13"/>
          <w:szCs w:val="13"/>
          <w:vertAlign w:val="subscript"/>
        </w:rPr>
        <w:t>2</w:t>
      </w:r>
      <w:r w:rsidRPr="00524920">
        <w:rPr>
          <w:rFonts w:ascii="Arial" w:eastAsia="Times New Roman" w:hAnsi="Arial" w:cs="Arial"/>
          <w:color w:val="000000"/>
        </w:rPr>
        <w:t xml:space="preserve"> element in one country spills over to another.</w:t>
      </w:r>
    </w:p>
    <w:p w:rsidR="00524920" w:rsidRDefault="00524920" w:rsidP="00524920">
      <w:pPr>
        <w:spacing w:before="240" w:after="0" w:line="240" w:lineRule="auto"/>
        <w:jc w:val="both"/>
        <w:rPr>
          <w:rFonts w:ascii="Arial" w:eastAsia="Times New Roman" w:hAnsi="Arial" w:cs="Arial"/>
          <w:color w:val="000000"/>
        </w:rPr>
      </w:pPr>
      <w:r w:rsidRPr="00524920">
        <w:rPr>
          <w:rFonts w:ascii="Arial" w:eastAsia="Times New Roman" w:hAnsi="Arial" w:cs="Arial"/>
          <w:color w:val="000000"/>
        </w:rPr>
        <w:t>The most accurate way to measure market and price homogeneity between markets is by using power market models. Several analysts apply sophisticated power market models covering all of Europe and adjacent regions. These models not only identify price convergence, they also accurately identify actual carbon pass-through factors.</w:t>
      </w:r>
    </w:p>
    <w:p w:rsidR="00E94EFB" w:rsidRPr="00524920" w:rsidRDefault="00E94EFB" w:rsidP="00524920">
      <w:pPr>
        <w:spacing w:before="240" w:after="0" w:line="240" w:lineRule="auto"/>
        <w:jc w:val="both"/>
        <w:rPr>
          <w:rFonts w:ascii="Times New Roman" w:eastAsia="Times New Roman" w:hAnsi="Times New Roman" w:cs="Times New Roman"/>
          <w:sz w:val="24"/>
          <w:szCs w:val="24"/>
        </w:rPr>
      </w:pPr>
      <w:bookmarkStart w:id="0" w:name="_GoBack"/>
      <w:bookmarkEnd w:id="0"/>
    </w:p>
    <w:p w:rsidR="00524920" w:rsidRPr="00524920" w:rsidRDefault="00524920" w:rsidP="00524920">
      <w:pPr>
        <w:pStyle w:val="ListParagraph"/>
        <w:numPr>
          <w:ilvl w:val="0"/>
          <w:numId w:val="3"/>
        </w:numPr>
        <w:spacing w:before="240" w:after="120" w:line="240" w:lineRule="auto"/>
        <w:jc w:val="both"/>
        <w:rPr>
          <w:rFonts w:ascii="Arial" w:eastAsia="Times New Roman" w:hAnsi="Arial" w:cs="Arial"/>
          <w:i/>
          <w:color w:val="000000"/>
        </w:rPr>
      </w:pPr>
      <w:r w:rsidRPr="00524920">
        <w:rPr>
          <w:rFonts w:ascii="Arial" w:eastAsia="Times New Roman" w:hAnsi="Arial" w:cs="Arial"/>
          <w:i/>
          <w:color w:val="000000"/>
        </w:rPr>
        <w:lastRenderedPageBreak/>
        <w:t>CO</w:t>
      </w:r>
      <w:r w:rsidRPr="00524920">
        <w:rPr>
          <w:rFonts w:ascii="Arial" w:eastAsia="Times New Roman" w:hAnsi="Arial" w:cs="Arial"/>
          <w:i/>
          <w:color w:val="000000"/>
          <w:vertAlign w:val="subscript"/>
        </w:rPr>
        <w:t>2</w:t>
      </w:r>
      <w:r w:rsidRPr="00524920">
        <w:rPr>
          <w:rFonts w:ascii="Arial" w:eastAsia="Times New Roman" w:hAnsi="Arial" w:cs="Arial"/>
          <w:i/>
          <w:color w:val="000000"/>
        </w:rPr>
        <w:t xml:space="preserve"> emission factor</w:t>
      </w:r>
    </w:p>
    <w:p w:rsidR="00524920" w:rsidRPr="00524920" w:rsidRDefault="00524920" w:rsidP="00DF5B38">
      <w:pPr>
        <w:spacing w:before="240" w:after="24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The Commissions recommended pass-through factor methodology based on fossil power generation emissions over fossil-based power generation may well be appropriate for power markets dominated by coal- or gas-fired plants. For countries where fossil-free power generation makes up a very large</w:t>
      </w:r>
      <w:r w:rsidR="00D93A16">
        <w:rPr>
          <w:rFonts w:ascii="Arial" w:eastAsia="Times New Roman" w:hAnsi="Arial" w:cs="Arial"/>
          <w:color w:val="000000"/>
        </w:rPr>
        <w:t xml:space="preserve"> share</w:t>
      </w:r>
      <w:r w:rsidRPr="00524920">
        <w:rPr>
          <w:rFonts w:ascii="Arial" w:eastAsia="Times New Roman" w:hAnsi="Arial" w:cs="Arial"/>
          <w:color w:val="000000"/>
        </w:rPr>
        <w:t>, it is inaccurate.</w:t>
      </w:r>
    </w:p>
    <w:p w:rsidR="00524920" w:rsidRPr="00524920" w:rsidRDefault="00524920" w:rsidP="00DF5B38">
      <w:pPr>
        <w:spacing w:before="240" w:after="24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 xml:space="preserve">The best way to identify which pass-through factor to use in the Nordics </w:t>
      </w:r>
      <w:r w:rsidR="00DF5B38">
        <w:rPr>
          <w:rFonts w:ascii="Arial" w:eastAsia="Times New Roman" w:hAnsi="Arial" w:cs="Arial"/>
          <w:color w:val="000000"/>
        </w:rPr>
        <w:t xml:space="preserve">or in </w:t>
      </w:r>
      <w:r w:rsidRPr="00524920">
        <w:rPr>
          <w:rFonts w:ascii="Arial" w:eastAsia="Times New Roman" w:hAnsi="Arial" w:cs="Arial"/>
          <w:color w:val="000000"/>
        </w:rPr>
        <w:t xml:space="preserve"> </w:t>
      </w:r>
      <w:r w:rsidR="00DF5B38">
        <w:rPr>
          <w:rFonts w:ascii="Arial" w:eastAsia="Times New Roman" w:hAnsi="Arial" w:cs="Arial"/>
          <w:color w:val="000000"/>
        </w:rPr>
        <w:t>Central West Europe area</w:t>
      </w:r>
      <w:r w:rsidRPr="00524920">
        <w:rPr>
          <w:rFonts w:ascii="Arial" w:eastAsia="Times New Roman" w:hAnsi="Arial" w:cs="Arial"/>
          <w:color w:val="000000"/>
        </w:rPr>
        <w:t xml:space="preserve"> is to apply power market models that accurately simulate the complicated hydro-nuclear-thermal interplay that is the connectivity between the Nordics and the Continent and France and its </w:t>
      </w:r>
      <w:proofErr w:type="spellStart"/>
      <w:r w:rsidRPr="00524920">
        <w:rPr>
          <w:rFonts w:ascii="Arial" w:eastAsia="Times New Roman" w:hAnsi="Arial" w:cs="Arial"/>
          <w:color w:val="000000"/>
        </w:rPr>
        <w:t>neighbouring</w:t>
      </w:r>
      <w:proofErr w:type="spellEnd"/>
      <w:r w:rsidRPr="00524920">
        <w:rPr>
          <w:rFonts w:ascii="Arial" w:eastAsia="Times New Roman" w:hAnsi="Arial" w:cs="Arial"/>
          <w:color w:val="000000"/>
        </w:rPr>
        <w:t xml:space="preserve"> countries. Such power market models exist, and are frequently used in numerous power market studies both in the Nordics and by the EU Commission </w:t>
      </w:r>
      <w:proofErr w:type="gramStart"/>
      <w:r w:rsidRPr="00524920">
        <w:rPr>
          <w:rFonts w:ascii="Arial" w:eastAsia="Times New Roman" w:hAnsi="Arial" w:cs="Arial"/>
          <w:color w:val="000000"/>
        </w:rPr>
        <w:t xml:space="preserve">( </w:t>
      </w:r>
      <w:proofErr w:type="spellStart"/>
      <w:r w:rsidRPr="00524920">
        <w:rPr>
          <w:rFonts w:ascii="Arial" w:eastAsia="Times New Roman" w:hAnsi="Arial" w:cs="Arial"/>
          <w:color w:val="000000"/>
        </w:rPr>
        <w:t>eg</w:t>
      </w:r>
      <w:proofErr w:type="spellEnd"/>
      <w:proofErr w:type="gramEnd"/>
      <w:r w:rsidRPr="00524920">
        <w:rPr>
          <w:rFonts w:ascii="Arial" w:eastAsia="Times New Roman" w:hAnsi="Arial" w:cs="Arial"/>
          <w:color w:val="000000"/>
        </w:rPr>
        <w:t xml:space="preserve"> the DG Energy market models).</w:t>
      </w:r>
    </w:p>
    <w:p w:rsidR="00524920" w:rsidRPr="00524920" w:rsidRDefault="00524920" w:rsidP="00524920">
      <w:pPr>
        <w:spacing w:before="240" w:after="120" w:line="240" w:lineRule="auto"/>
        <w:rPr>
          <w:rFonts w:ascii="Times New Roman" w:eastAsia="Times New Roman" w:hAnsi="Times New Roman" w:cs="Times New Roman"/>
          <w:sz w:val="24"/>
          <w:szCs w:val="24"/>
        </w:rPr>
      </w:pPr>
      <w:r w:rsidRPr="00524920">
        <w:rPr>
          <w:rFonts w:ascii="Arial" w:eastAsia="Times New Roman" w:hAnsi="Arial" w:cs="Arial"/>
          <w:b/>
          <w:bCs/>
          <w:color w:val="000000"/>
          <w:u w:val="single"/>
        </w:rPr>
        <w:t>Maximum aid intensity</w:t>
      </w:r>
    </w:p>
    <w:p w:rsidR="00524920" w:rsidRPr="00524920" w:rsidRDefault="00524920" w:rsidP="00283369">
      <w:pPr>
        <w:spacing w:before="240" w:after="24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 xml:space="preserve">Indirect cost compensation </w:t>
      </w:r>
      <w:r w:rsidR="00F12C9E">
        <w:rPr>
          <w:rFonts w:ascii="Arial" w:eastAsia="Times New Roman" w:hAnsi="Arial" w:cs="Arial"/>
          <w:color w:val="000000"/>
        </w:rPr>
        <w:t xml:space="preserve">in its current state </w:t>
      </w:r>
      <w:r w:rsidRPr="00524920">
        <w:rPr>
          <w:rFonts w:ascii="Arial" w:eastAsia="Times New Roman" w:hAnsi="Arial" w:cs="Arial"/>
          <w:color w:val="000000"/>
        </w:rPr>
        <w:t xml:space="preserve">has mitigated, but not removed, the risk of carbon leakage. </w:t>
      </w:r>
      <w:r w:rsidR="00F12C9E">
        <w:rPr>
          <w:rFonts w:ascii="Arial" w:eastAsia="Times New Roman" w:hAnsi="Arial" w:cs="Arial"/>
          <w:color w:val="000000"/>
        </w:rPr>
        <w:t>T</w:t>
      </w:r>
      <w:r w:rsidRPr="00524920">
        <w:rPr>
          <w:rFonts w:ascii="Arial" w:eastAsia="Times New Roman" w:hAnsi="Arial" w:cs="Arial"/>
          <w:color w:val="000000"/>
        </w:rPr>
        <w:t xml:space="preserve">o enhance low carbon investments </w:t>
      </w:r>
      <w:r w:rsidR="00DF5B38">
        <w:rPr>
          <w:rFonts w:ascii="Arial" w:eastAsia="Times New Roman" w:hAnsi="Arial" w:cs="Arial"/>
          <w:color w:val="000000"/>
        </w:rPr>
        <w:t>as well as</w:t>
      </w:r>
      <w:r w:rsidRPr="00524920">
        <w:rPr>
          <w:rFonts w:ascii="Arial" w:eastAsia="Times New Roman" w:hAnsi="Arial" w:cs="Arial"/>
          <w:color w:val="000000"/>
        </w:rPr>
        <w:t xml:space="preserve"> electrification</w:t>
      </w:r>
      <w:r w:rsidR="00DF5B38">
        <w:rPr>
          <w:rFonts w:ascii="Arial" w:eastAsia="Times New Roman" w:hAnsi="Arial" w:cs="Arial"/>
          <w:color w:val="000000"/>
        </w:rPr>
        <w:t xml:space="preserve"> </w:t>
      </w:r>
      <w:r w:rsidR="00F12C9E">
        <w:rPr>
          <w:rFonts w:ascii="Arial" w:eastAsia="Times New Roman" w:hAnsi="Arial" w:cs="Arial"/>
          <w:color w:val="000000"/>
        </w:rPr>
        <w:t xml:space="preserve">of industrial processes </w:t>
      </w:r>
      <w:r w:rsidR="00DF5B38">
        <w:rPr>
          <w:rFonts w:ascii="Arial" w:eastAsia="Times New Roman" w:hAnsi="Arial" w:cs="Arial"/>
          <w:color w:val="000000"/>
        </w:rPr>
        <w:t>and avoid carbon leakage</w:t>
      </w:r>
      <w:r w:rsidRPr="00524920">
        <w:rPr>
          <w:rFonts w:ascii="Arial" w:eastAsia="Times New Roman" w:hAnsi="Arial" w:cs="Arial"/>
          <w:color w:val="000000"/>
        </w:rPr>
        <w:t xml:space="preserve">, legal certainty on </w:t>
      </w:r>
      <w:r w:rsidR="00C72312">
        <w:rPr>
          <w:rFonts w:ascii="Arial" w:eastAsia="Times New Roman" w:hAnsi="Arial" w:cs="Arial"/>
          <w:color w:val="000000"/>
        </w:rPr>
        <w:t xml:space="preserve">indirect CO2 costs </w:t>
      </w:r>
      <w:r w:rsidRPr="00524920">
        <w:rPr>
          <w:rFonts w:ascii="Arial" w:eastAsia="Times New Roman" w:hAnsi="Arial" w:cs="Arial"/>
          <w:color w:val="000000"/>
        </w:rPr>
        <w:t>compensation should be ensured at least over the phase 4 of EU-ETS. Incomplete compensation is not effective.</w:t>
      </w:r>
    </w:p>
    <w:p w:rsidR="009E4791" w:rsidRPr="00524920" w:rsidRDefault="009E4791" w:rsidP="009E4791">
      <w:pPr>
        <w:numPr>
          <w:ilvl w:val="0"/>
          <w:numId w:val="1"/>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A</w:t>
      </w:r>
      <w:r w:rsidR="00F12C9E">
        <w:rPr>
          <w:rFonts w:ascii="Arial" w:eastAsia="Times New Roman" w:hAnsi="Arial" w:cs="Arial"/>
          <w:color w:val="000000"/>
        </w:rPr>
        <w:t xml:space="preserve"> stable</w:t>
      </w:r>
      <w:r>
        <w:rPr>
          <w:rFonts w:ascii="Arial" w:eastAsia="Times New Roman" w:hAnsi="Arial" w:cs="Arial"/>
          <w:color w:val="000000"/>
        </w:rPr>
        <w:t xml:space="preserve"> aid intensity capped at 75 % might not be sufficient to ensure an adequate carbon leakage protection. Due to CO2 price increase, European industry’s exposure to carbon leakage is on a constant rise. Thus, </w:t>
      </w:r>
      <w:r w:rsidRPr="009E4791">
        <w:rPr>
          <w:rFonts w:ascii="Arial" w:eastAsia="Times New Roman" w:hAnsi="Arial" w:cs="Arial"/>
          <w:color w:val="000000"/>
        </w:rPr>
        <w:t>IFIEC strongly supports the introduction of the new possibility for Member States to further limit the amount of the indirect costs to be paid at undertaking level to a percentage of the GVA of the concerned undertakings, which may reasonably be defined at 0.5%.</w:t>
      </w:r>
    </w:p>
    <w:p w:rsidR="00524920" w:rsidRPr="00524920" w:rsidRDefault="00524920" w:rsidP="00524920">
      <w:pPr>
        <w:spacing w:before="240" w:after="12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 xml:space="preserve">To be consistent with carbon leakage protection against direct costs, </w:t>
      </w:r>
      <w:r w:rsidR="00C72312">
        <w:rPr>
          <w:rFonts w:ascii="Arial" w:eastAsia="Times New Roman" w:hAnsi="Arial" w:cs="Arial"/>
          <w:color w:val="000000"/>
        </w:rPr>
        <w:t xml:space="preserve">it is important that </w:t>
      </w:r>
      <w:r w:rsidRPr="00524920">
        <w:rPr>
          <w:rFonts w:ascii="Arial" w:eastAsia="Times New Roman" w:hAnsi="Arial" w:cs="Arial"/>
          <w:color w:val="000000"/>
        </w:rPr>
        <w:t>the aid intensity remain</w:t>
      </w:r>
      <w:r w:rsidR="00C72312">
        <w:rPr>
          <w:rFonts w:ascii="Arial" w:eastAsia="Times New Roman" w:hAnsi="Arial" w:cs="Arial"/>
          <w:color w:val="000000"/>
        </w:rPr>
        <w:t>s</w:t>
      </w:r>
      <w:r w:rsidRPr="00524920">
        <w:rPr>
          <w:rFonts w:ascii="Arial" w:eastAsia="Times New Roman" w:hAnsi="Arial" w:cs="Arial"/>
          <w:color w:val="000000"/>
        </w:rPr>
        <w:t xml:space="preserve"> stable</w:t>
      </w:r>
      <w:r w:rsidR="00C72312">
        <w:rPr>
          <w:rFonts w:ascii="Arial" w:eastAsia="Times New Roman" w:hAnsi="Arial" w:cs="Arial"/>
          <w:color w:val="000000"/>
        </w:rPr>
        <w:t xml:space="preserve"> throughout the period</w:t>
      </w:r>
      <w:r w:rsidR="00DF5B38">
        <w:rPr>
          <w:rFonts w:ascii="Arial" w:eastAsia="Times New Roman" w:hAnsi="Arial" w:cs="Arial"/>
          <w:color w:val="000000"/>
        </w:rPr>
        <w:t>.</w:t>
      </w:r>
    </w:p>
    <w:p w:rsidR="00524920" w:rsidRPr="00524920" w:rsidRDefault="00524920" w:rsidP="00524920">
      <w:pPr>
        <w:spacing w:before="240" w:after="120" w:line="240" w:lineRule="auto"/>
        <w:jc w:val="both"/>
        <w:rPr>
          <w:rFonts w:ascii="Times New Roman" w:eastAsia="Times New Roman" w:hAnsi="Times New Roman" w:cs="Times New Roman"/>
          <w:sz w:val="24"/>
          <w:szCs w:val="24"/>
        </w:rPr>
      </w:pPr>
      <w:r w:rsidRPr="00524920">
        <w:rPr>
          <w:rFonts w:ascii="Arial" w:eastAsia="Times New Roman" w:hAnsi="Arial" w:cs="Arial"/>
          <w:b/>
          <w:bCs/>
          <w:color w:val="000000"/>
          <w:u w:val="single"/>
        </w:rPr>
        <w:t xml:space="preserve">Conditional based compensation </w:t>
      </w:r>
      <w:r w:rsidR="00DF5B38">
        <w:rPr>
          <w:rFonts w:ascii="Arial" w:eastAsia="Times New Roman" w:hAnsi="Arial" w:cs="Arial"/>
          <w:b/>
          <w:bCs/>
          <w:color w:val="000000"/>
          <w:u w:val="single"/>
        </w:rPr>
        <w:t>not reflecting a genuine carbon leakage protection</w:t>
      </w:r>
    </w:p>
    <w:p w:rsidR="007B1267" w:rsidRDefault="00F12C9E" w:rsidP="00524920">
      <w:pPr>
        <w:spacing w:before="240" w:after="120" w:line="240" w:lineRule="auto"/>
        <w:jc w:val="both"/>
        <w:rPr>
          <w:rFonts w:ascii="Arial" w:eastAsia="Times New Roman" w:hAnsi="Arial" w:cs="Arial"/>
          <w:color w:val="000000"/>
        </w:rPr>
      </w:pPr>
      <w:r>
        <w:rPr>
          <w:rFonts w:ascii="Arial" w:eastAsia="Times New Roman" w:hAnsi="Arial" w:cs="Arial"/>
          <w:color w:val="000000"/>
        </w:rPr>
        <w:t xml:space="preserve">Concerning paragraphs </w:t>
      </w:r>
      <w:r w:rsidR="007B1267">
        <w:rPr>
          <w:rFonts w:ascii="Arial" w:eastAsia="Times New Roman" w:hAnsi="Arial" w:cs="Arial"/>
          <w:color w:val="000000"/>
        </w:rPr>
        <w:t>(</w:t>
      </w:r>
      <w:r>
        <w:rPr>
          <w:rFonts w:ascii="Arial" w:eastAsia="Times New Roman" w:hAnsi="Arial" w:cs="Arial"/>
          <w:color w:val="000000"/>
        </w:rPr>
        <w:t>53</w:t>
      </w:r>
      <w:r w:rsidR="007B1267">
        <w:rPr>
          <w:rFonts w:ascii="Arial" w:eastAsia="Times New Roman" w:hAnsi="Arial" w:cs="Arial"/>
          <w:color w:val="000000"/>
        </w:rPr>
        <w:t>)</w:t>
      </w:r>
      <w:r>
        <w:rPr>
          <w:rFonts w:ascii="Arial" w:eastAsia="Times New Roman" w:hAnsi="Arial" w:cs="Arial"/>
          <w:color w:val="000000"/>
        </w:rPr>
        <w:t xml:space="preserve"> and </w:t>
      </w:r>
      <w:r w:rsidR="007B1267">
        <w:rPr>
          <w:rFonts w:ascii="Arial" w:eastAsia="Times New Roman" w:hAnsi="Arial" w:cs="Arial"/>
          <w:color w:val="000000"/>
        </w:rPr>
        <w:t>(</w:t>
      </w:r>
      <w:r>
        <w:rPr>
          <w:rFonts w:ascii="Arial" w:eastAsia="Times New Roman" w:hAnsi="Arial" w:cs="Arial"/>
          <w:color w:val="000000"/>
        </w:rPr>
        <w:t>54a</w:t>
      </w:r>
      <w:r w:rsidR="007B1267">
        <w:rPr>
          <w:rFonts w:ascii="Arial" w:eastAsia="Times New Roman" w:hAnsi="Arial" w:cs="Arial"/>
          <w:color w:val="000000"/>
        </w:rPr>
        <w:t xml:space="preserve">): </w:t>
      </w:r>
      <w:r w:rsidR="00524920" w:rsidRPr="00524920">
        <w:rPr>
          <w:rFonts w:ascii="Arial" w:eastAsia="Times New Roman" w:hAnsi="Arial" w:cs="Arial"/>
          <w:color w:val="000000"/>
        </w:rPr>
        <w:t xml:space="preserve">Energy efficiency is </w:t>
      </w:r>
      <w:proofErr w:type="gramStart"/>
      <w:r w:rsidR="00524920" w:rsidRPr="00524920">
        <w:rPr>
          <w:rFonts w:ascii="Arial" w:eastAsia="Times New Roman" w:hAnsi="Arial" w:cs="Arial"/>
          <w:color w:val="000000"/>
        </w:rPr>
        <w:t>key</w:t>
      </w:r>
      <w:proofErr w:type="gramEnd"/>
      <w:r w:rsidR="00524920" w:rsidRPr="00524920">
        <w:rPr>
          <w:rFonts w:ascii="Arial" w:eastAsia="Times New Roman" w:hAnsi="Arial" w:cs="Arial"/>
          <w:color w:val="000000"/>
        </w:rPr>
        <w:t xml:space="preserve"> to achieving </w:t>
      </w:r>
      <w:r w:rsidR="007B1267">
        <w:rPr>
          <w:rFonts w:ascii="Arial" w:eastAsia="Times New Roman" w:hAnsi="Arial" w:cs="Arial"/>
          <w:color w:val="000000"/>
        </w:rPr>
        <w:t>greenhouse gas reductions within the European Union</w:t>
      </w:r>
      <w:r w:rsidR="00524920" w:rsidRPr="00524920">
        <w:rPr>
          <w:rFonts w:ascii="Arial" w:eastAsia="Times New Roman" w:hAnsi="Arial" w:cs="Arial"/>
          <w:color w:val="000000"/>
        </w:rPr>
        <w:t xml:space="preserve">. It has contributed in the </w:t>
      </w:r>
      <w:r w:rsidR="00A35463">
        <w:rPr>
          <w:rFonts w:ascii="Arial" w:eastAsia="Times New Roman" w:hAnsi="Arial" w:cs="Arial"/>
          <w:color w:val="000000"/>
        </w:rPr>
        <w:t>mitigation</w:t>
      </w:r>
      <w:r w:rsidR="00524920" w:rsidRPr="00524920">
        <w:rPr>
          <w:rFonts w:ascii="Arial" w:eastAsia="Times New Roman" w:hAnsi="Arial" w:cs="Arial"/>
          <w:color w:val="000000"/>
        </w:rPr>
        <w:t xml:space="preserve"> of greenhouse gases emissions linked to the industry’ </w:t>
      </w:r>
      <w:r w:rsidR="00192892">
        <w:rPr>
          <w:rFonts w:ascii="Arial" w:eastAsia="Times New Roman" w:hAnsi="Arial" w:cs="Arial"/>
          <w:color w:val="000000"/>
        </w:rPr>
        <w:t>energy</w:t>
      </w:r>
      <w:r w:rsidR="00524920" w:rsidRPr="00524920">
        <w:rPr>
          <w:rFonts w:ascii="Arial" w:eastAsia="Times New Roman" w:hAnsi="Arial" w:cs="Arial"/>
          <w:color w:val="000000"/>
        </w:rPr>
        <w:t xml:space="preserve"> consumption in Europe for decades. However, the subsequent and additional criteria proposed by the Commission are </w:t>
      </w:r>
      <w:r w:rsidR="00A35463">
        <w:rPr>
          <w:rFonts w:ascii="Arial" w:eastAsia="Times New Roman" w:hAnsi="Arial" w:cs="Arial"/>
          <w:color w:val="000000"/>
        </w:rPr>
        <w:t>mixing legislation on implementation of EED requirements and ETS carbon leakage protection</w:t>
      </w:r>
      <w:proofErr w:type="gramStart"/>
      <w:r w:rsidR="00A35463">
        <w:rPr>
          <w:rFonts w:ascii="Arial" w:eastAsia="Times New Roman" w:hAnsi="Arial" w:cs="Arial"/>
          <w:color w:val="000000"/>
        </w:rPr>
        <w:t>.</w:t>
      </w:r>
      <w:r w:rsidR="00524920" w:rsidRPr="00524920">
        <w:rPr>
          <w:rFonts w:ascii="Arial" w:eastAsia="Times New Roman" w:hAnsi="Arial" w:cs="Arial"/>
          <w:color w:val="000000"/>
        </w:rPr>
        <w:t>.</w:t>
      </w:r>
      <w:proofErr w:type="gramEnd"/>
      <w:r w:rsidR="00524920" w:rsidRPr="00524920">
        <w:rPr>
          <w:rFonts w:ascii="Arial" w:eastAsia="Times New Roman" w:hAnsi="Arial" w:cs="Arial"/>
          <w:color w:val="000000"/>
        </w:rPr>
        <w:t xml:space="preserve"> They also do not consider past investments and efforts from the industry. Industrial facilities that have already implemented the best available technologies that have invested a lot in energy efficiency and/or have a very low indirect carbon footprint should be able to benefit from the compensation of indirect costs. Otherwise, the guideline would favor the least performing facilities, whose potential for energy efficiency is far greater. Carbon compensation is an essential competitiveness measure for </w:t>
      </w:r>
      <w:r w:rsidR="008A087B">
        <w:rPr>
          <w:rFonts w:ascii="Arial" w:eastAsia="Times New Roman" w:hAnsi="Arial" w:cs="Arial"/>
          <w:color w:val="000000"/>
        </w:rPr>
        <w:t>European</w:t>
      </w:r>
      <w:r w:rsidR="00524920" w:rsidRPr="00524920">
        <w:rPr>
          <w:rFonts w:ascii="Arial" w:eastAsia="Times New Roman" w:hAnsi="Arial" w:cs="Arial"/>
          <w:color w:val="000000"/>
        </w:rPr>
        <w:t xml:space="preserve"> industries. </w:t>
      </w:r>
    </w:p>
    <w:p w:rsidR="007B1267" w:rsidRDefault="007B1267" w:rsidP="00524920">
      <w:pPr>
        <w:spacing w:before="240" w:after="120" w:line="240" w:lineRule="auto"/>
        <w:jc w:val="both"/>
        <w:rPr>
          <w:rFonts w:ascii="Arial" w:eastAsia="Times New Roman" w:hAnsi="Arial" w:cs="Arial"/>
          <w:color w:val="000000"/>
        </w:rPr>
      </w:pPr>
      <w:r>
        <w:rPr>
          <w:rFonts w:ascii="Arial" w:eastAsia="Times New Roman" w:hAnsi="Arial" w:cs="Arial"/>
          <w:color w:val="000000"/>
        </w:rPr>
        <w:t xml:space="preserve">Concerning paragraph (54b): </w:t>
      </w:r>
      <w:r w:rsidR="00A35463">
        <w:rPr>
          <w:rFonts w:ascii="Arial" w:eastAsia="Times New Roman" w:hAnsi="Arial" w:cs="Arial"/>
          <w:color w:val="000000"/>
        </w:rPr>
        <w:t>G</w:t>
      </w:r>
      <w:r w:rsidR="00524920" w:rsidRPr="00524920">
        <w:rPr>
          <w:rFonts w:ascii="Arial" w:eastAsia="Times New Roman" w:hAnsi="Arial" w:cs="Arial"/>
          <w:color w:val="000000"/>
        </w:rPr>
        <w:t xml:space="preserve">iven the huge amounts of electricity that are needed </w:t>
      </w:r>
      <w:r w:rsidR="00524920" w:rsidRPr="00007868">
        <w:rPr>
          <w:rFonts w:ascii="Arial" w:eastAsia="Times New Roman" w:hAnsi="Arial" w:cs="Arial"/>
        </w:rPr>
        <w:t>for the electro-intensive industry, stipulating that 50% of this energy should come through a</w:t>
      </w:r>
      <w:r w:rsidR="00AF6FDA" w:rsidRPr="00007868">
        <w:rPr>
          <w:rFonts w:ascii="Arial" w:eastAsia="Times New Roman" w:hAnsi="Arial" w:cs="Arial"/>
        </w:rPr>
        <w:t>n</w:t>
      </w:r>
      <w:r w:rsidR="00524920" w:rsidRPr="00007868">
        <w:rPr>
          <w:rFonts w:ascii="Arial" w:eastAsia="Times New Roman" w:hAnsi="Arial" w:cs="Arial"/>
        </w:rPr>
        <w:t xml:space="preserve"> “on-</w:t>
      </w:r>
      <w:r w:rsidR="00524920" w:rsidRPr="00524920">
        <w:rPr>
          <w:rFonts w:ascii="Arial" w:eastAsia="Times New Roman" w:hAnsi="Arial" w:cs="Arial"/>
          <w:color w:val="000000"/>
        </w:rPr>
        <w:t xml:space="preserve">site renewable energy generation facility” is not even technically feasible. </w:t>
      </w:r>
    </w:p>
    <w:p w:rsidR="00524920" w:rsidRPr="00524920" w:rsidRDefault="007B1267" w:rsidP="00524920">
      <w:pPr>
        <w:spacing w:before="240" w:after="120" w:line="240" w:lineRule="auto"/>
        <w:jc w:val="both"/>
        <w:rPr>
          <w:rFonts w:ascii="Times New Roman" w:eastAsia="Times New Roman" w:hAnsi="Times New Roman" w:cs="Times New Roman"/>
          <w:sz w:val="24"/>
          <w:szCs w:val="24"/>
        </w:rPr>
      </w:pPr>
      <w:r>
        <w:rPr>
          <w:rFonts w:ascii="Arial" w:eastAsia="Times New Roman" w:hAnsi="Arial" w:cs="Arial"/>
          <w:color w:val="000000"/>
        </w:rPr>
        <w:t>Concerning paragraph</w:t>
      </w:r>
      <w:r w:rsidR="00941DC6">
        <w:rPr>
          <w:rFonts w:ascii="Arial" w:eastAsia="Times New Roman" w:hAnsi="Arial" w:cs="Arial"/>
          <w:color w:val="000000"/>
        </w:rPr>
        <w:t xml:space="preserve"> </w:t>
      </w:r>
      <w:r>
        <w:rPr>
          <w:rFonts w:ascii="Arial" w:eastAsia="Times New Roman" w:hAnsi="Arial" w:cs="Arial"/>
          <w:color w:val="000000"/>
        </w:rPr>
        <w:t>(</w:t>
      </w:r>
      <w:r w:rsidR="00524920" w:rsidRPr="00524920">
        <w:rPr>
          <w:rFonts w:ascii="Arial" w:eastAsia="Times New Roman" w:hAnsi="Arial" w:cs="Arial"/>
          <w:color w:val="000000"/>
        </w:rPr>
        <w:t>54c</w:t>
      </w:r>
      <w:r>
        <w:rPr>
          <w:rFonts w:ascii="Arial" w:eastAsia="Times New Roman" w:hAnsi="Arial" w:cs="Arial"/>
          <w:color w:val="000000"/>
        </w:rPr>
        <w:t>)</w:t>
      </w:r>
      <w:r w:rsidR="00524920" w:rsidRPr="00524920">
        <w:rPr>
          <w:rFonts w:ascii="Arial" w:eastAsia="Times New Roman" w:hAnsi="Arial" w:cs="Arial"/>
          <w:color w:val="000000"/>
        </w:rPr>
        <w:t xml:space="preserve"> the objective of indirect compensation is to reduce the risk of carbon leakage due to the increased electricity prices brought about by the EU ETS. Using a </w:t>
      </w:r>
      <w:r w:rsidR="00524920" w:rsidRPr="00524920">
        <w:rPr>
          <w:rFonts w:ascii="Arial" w:eastAsia="Times New Roman" w:hAnsi="Arial" w:cs="Arial"/>
          <w:color w:val="000000"/>
        </w:rPr>
        <w:lastRenderedPageBreak/>
        <w:t>major part, up to 80% of indirect compensation to address direct emissions, is not in line with this objective. Incentives to reduce direct emissions should not be included in this piece of legislation but in other legislation (ETS Directive).</w:t>
      </w:r>
    </w:p>
    <w:p w:rsidR="00524920" w:rsidRPr="00524920" w:rsidRDefault="007B1267" w:rsidP="00524920">
      <w:pPr>
        <w:spacing w:before="240" w:after="120" w:line="240" w:lineRule="auto"/>
        <w:jc w:val="both"/>
        <w:rPr>
          <w:rFonts w:ascii="Times New Roman" w:eastAsia="Times New Roman" w:hAnsi="Times New Roman" w:cs="Times New Roman"/>
          <w:sz w:val="24"/>
          <w:szCs w:val="24"/>
        </w:rPr>
      </w:pPr>
      <w:r w:rsidRPr="00524920">
        <w:rPr>
          <w:rFonts w:ascii="Arial" w:eastAsia="Times New Roman" w:hAnsi="Arial" w:cs="Arial"/>
          <w:color w:val="000000"/>
        </w:rPr>
        <w:t xml:space="preserve">For these reasons, IFIEC-Europe </w:t>
      </w:r>
      <w:r>
        <w:rPr>
          <w:rFonts w:ascii="Arial" w:eastAsia="Times New Roman" w:hAnsi="Arial" w:cs="Arial"/>
          <w:color w:val="000000"/>
        </w:rPr>
        <w:t>urges the Commission</w:t>
      </w:r>
      <w:r w:rsidRPr="00524920">
        <w:rPr>
          <w:rFonts w:ascii="Arial" w:eastAsia="Times New Roman" w:hAnsi="Arial" w:cs="Arial"/>
          <w:color w:val="000000"/>
        </w:rPr>
        <w:t xml:space="preserve"> to </w:t>
      </w:r>
      <w:r>
        <w:rPr>
          <w:rFonts w:ascii="Arial" w:eastAsia="Times New Roman" w:hAnsi="Arial" w:cs="Arial"/>
          <w:color w:val="000000"/>
        </w:rPr>
        <w:t xml:space="preserve">delete the whole </w:t>
      </w:r>
      <w:r w:rsidRPr="00524920">
        <w:rPr>
          <w:rFonts w:ascii="Arial" w:eastAsia="Times New Roman" w:hAnsi="Arial" w:cs="Arial"/>
          <w:color w:val="000000"/>
        </w:rPr>
        <w:t xml:space="preserve">paragraph </w:t>
      </w:r>
      <w:r>
        <w:rPr>
          <w:rFonts w:ascii="Arial" w:eastAsia="Times New Roman" w:hAnsi="Arial" w:cs="Arial"/>
          <w:color w:val="000000"/>
        </w:rPr>
        <w:t>(</w:t>
      </w:r>
      <w:r w:rsidRPr="00524920">
        <w:rPr>
          <w:rFonts w:ascii="Arial" w:eastAsia="Times New Roman" w:hAnsi="Arial" w:cs="Arial"/>
          <w:color w:val="000000"/>
        </w:rPr>
        <w:t>54</w:t>
      </w:r>
      <w:r>
        <w:rPr>
          <w:rFonts w:ascii="Arial" w:eastAsia="Times New Roman" w:hAnsi="Arial" w:cs="Arial"/>
          <w:color w:val="000000"/>
        </w:rPr>
        <w:t xml:space="preserve">). The proposed approach </w:t>
      </w:r>
      <w:r w:rsidRPr="00524920">
        <w:rPr>
          <w:rFonts w:ascii="Arial" w:eastAsia="Times New Roman" w:hAnsi="Arial" w:cs="Arial"/>
          <w:color w:val="000000"/>
        </w:rPr>
        <w:t>is not relevant and not adapted to the diversity of the situations of the industrial facilities.</w:t>
      </w:r>
    </w:p>
    <w:sectPr w:rsidR="00524920" w:rsidRPr="00524920">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12" w:rsidRDefault="00272F12" w:rsidP="00F20B48">
      <w:pPr>
        <w:spacing w:after="0" w:line="240" w:lineRule="auto"/>
      </w:pPr>
      <w:r>
        <w:separator/>
      </w:r>
    </w:p>
  </w:endnote>
  <w:endnote w:type="continuationSeparator" w:id="0">
    <w:p w:rsidR="00272F12" w:rsidRDefault="00272F12" w:rsidP="00F2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372235"/>
      <w:docPartObj>
        <w:docPartGallery w:val="Page Numbers (Bottom of Page)"/>
        <w:docPartUnique/>
      </w:docPartObj>
    </w:sdtPr>
    <w:sdtEndPr>
      <w:rPr>
        <w:noProof/>
      </w:rPr>
    </w:sdtEndPr>
    <w:sdtContent>
      <w:p w:rsidR="00E94EFB" w:rsidRDefault="00E94EF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4EFB" w:rsidRDefault="00E94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12" w:rsidRDefault="00272F12" w:rsidP="00F20B48">
      <w:pPr>
        <w:spacing w:after="0" w:line="240" w:lineRule="auto"/>
      </w:pPr>
      <w:r>
        <w:separator/>
      </w:r>
    </w:p>
  </w:footnote>
  <w:footnote w:type="continuationSeparator" w:id="0">
    <w:p w:rsidR="00272F12" w:rsidRDefault="00272F12" w:rsidP="00F20B48">
      <w:pPr>
        <w:spacing w:after="0" w:line="240" w:lineRule="auto"/>
      </w:pPr>
      <w:r>
        <w:continuationSeparator/>
      </w:r>
    </w:p>
  </w:footnote>
  <w:footnote w:id="1">
    <w:p w:rsidR="00F20B48" w:rsidRDefault="00F20B48" w:rsidP="00F20B48">
      <w:pPr>
        <w:pStyle w:val="FootnoteText"/>
        <w:rPr>
          <w:lang w:val="en-GB"/>
        </w:rPr>
      </w:pPr>
      <w:r>
        <w:rPr>
          <w:rStyle w:val="FootnoteReference"/>
        </w:rPr>
        <w:footnoteRef/>
      </w:r>
      <w:r>
        <w:t xml:space="preserve"> </w:t>
      </w:r>
      <w:r>
        <w:rPr>
          <w:rFonts w:ascii="Arial" w:eastAsia="Times New Roman" w:hAnsi="Arial" w:cs="Arial"/>
          <w:i/>
          <w:iCs/>
        </w:rPr>
        <w:t>SWD(2019) 1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57B67"/>
    <w:multiLevelType w:val="hybridMultilevel"/>
    <w:tmpl w:val="0570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8510F"/>
    <w:multiLevelType w:val="hybridMultilevel"/>
    <w:tmpl w:val="C4521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C5BBD"/>
    <w:multiLevelType w:val="multilevel"/>
    <w:tmpl w:val="5992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20"/>
    <w:rsid w:val="00007868"/>
    <w:rsid w:val="000627C8"/>
    <w:rsid w:val="000E4234"/>
    <w:rsid w:val="00192892"/>
    <w:rsid w:val="00195955"/>
    <w:rsid w:val="00272F12"/>
    <w:rsid w:val="00274BA8"/>
    <w:rsid w:val="00283369"/>
    <w:rsid w:val="00333368"/>
    <w:rsid w:val="004D1A98"/>
    <w:rsid w:val="00510B34"/>
    <w:rsid w:val="00524920"/>
    <w:rsid w:val="007A4A4C"/>
    <w:rsid w:val="007B1267"/>
    <w:rsid w:val="0080792F"/>
    <w:rsid w:val="00895244"/>
    <w:rsid w:val="008A087B"/>
    <w:rsid w:val="00941DC6"/>
    <w:rsid w:val="00994D25"/>
    <w:rsid w:val="009E4791"/>
    <w:rsid w:val="00A17E5B"/>
    <w:rsid w:val="00A35463"/>
    <w:rsid w:val="00AD5F07"/>
    <w:rsid w:val="00AF6FDA"/>
    <w:rsid w:val="00BC0AC0"/>
    <w:rsid w:val="00C37CCE"/>
    <w:rsid w:val="00C72312"/>
    <w:rsid w:val="00D93A16"/>
    <w:rsid w:val="00DF5B38"/>
    <w:rsid w:val="00E72EDC"/>
    <w:rsid w:val="00E94EFB"/>
    <w:rsid w:val="00F0233E"/>
    <w:rsid w:val="00F12C9E"/>
    <w:rsid w:val="00F20B48"/>
    <w:rsid w:val="00F834FB"/>
    <w:rsid w:val="00F951FB"/>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920"/>
    <w:pPr>
      <w:ind w:left="720"/>
      <w:contextualSpacing/>
    </w:pPr>
  </w:style>
  <w:style w:type="paragraph" w:styleId="BalloonText">
    <w:name w:val="Balloon Text"/>
    <w:basedOn w:val="Normal"/>
    <w:link w:val="BalloonTextChar"/>
    <w:uiPriority w:val="99"/>
    <w:semiHidden/>
    <w:unhideWhenUsed/>
    <w:rsid w:val="00E7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DC"/>
    <w:rPr>
      <w:rFonts w:ascii="Tahoma" w:hAnsi="Tahoma" w:cs="Tahoma"/>
      <w:sz w:val="16"/>
      <w:szCs w:val="16"/>
    </w:rPr>
  </w:style>
  <w:style w:type="character" w:styleId="CommentReference">
    <w:name w:val="annotation reference"/>
    <w:basedOn w:val="DefaultParagraphFont"/>
    <w:uiPriority w:val="99"/>
    <w:semiHidden/>
    <w:unhideWhenUsed/>
    <w:rsid w:val="007B1267"/>
    <w:rPr>
      <w:sz w:val="16"/>
      <w:szCs w:val="16"/>
    </w:rPr>
  </w:style>
  <w:style w:type="paragraph" w:styleId="CommentText">
    <w:name w:val="annotation text"/>
    <w:basedOn w:val="Normal"/>
    <w:link w:val="CommentTextChar"/>
    <w:uiPriority w:val="99"/>
    <w:semiHidden/>
    <w:unhideWhenUsed/>
    <w:rsid w:val="007B1267"/>
    <w:pPr>
      <w:spacing w:line="240" w:lineRule="auto"/>
    </w:pPr>
    <w:rPr>
      <w:sz w:val="20"/>
      <w:szCs w:val="20"/>
    </w:rPr>
  </w:style>
  <w:style w:type="character" w:customStyle="1" w:styleId="CommentTextChar">
    <w:name w:val="Comment Text Char"/>
    <w:basedOn w:val="DefaultParagraphFont"/>
    <w:link w:val="CommentText"/>
    <w:uiPriority w:val="99"/>
    <w:semiHidden/>
    <w:rsid w:val="007B1267"/>
    <w:rPr>
      <w:sz w:val="20"/>
      <w:szCs w:val="20"/>
    </w:rPr>
  </w:style>
  <w:style w:type="paragraph" w:styleId="CommentSubject">
    <w:name w:val="annotation subject"/>
    <w:basedOn w:val="CommentText"/>
    <w:next w:val="CommentText"/>
    <w:link w:val="CommentSubjectChar"/>
    <w:uiPriority w:val="99"/>
    <w:semiHidden/>
    <w:unhideWhenUsed/>
    <w:rsid w:val="007B1267"/>
    <w:rPr>
      <w:b/>
      <w:bCs/>
    </w:rPr>
  </w:style>
  <w:style w:type="character" w:customStyle="1" w:styleId="CommentSubjectChar">
    <w:name w:val="Comment Subject Char"/>
    <w:basedOn w:val="CommentTextChar"/>
    <w:link w:val="CommentSubject"/>
    <w:uiPriority w:val="99"/>
    <w:semiHidden/>
    <w:rsid w:val="007B1267"/>
    <w:rPr>
      <w:b/>
      <w:bCs/>
      <w:sz w:val="20"/>
      <w:szCs w:val="20"/>
    </w:rPr>
  </w:style>
  <w:style w:type="paragraph" w:customStyle="1" w:styleId="Hydrotekst">
    <w:name w:val="Hydro tekst"/>
    <w:basedOn w:val="Normal"/>
    <w:uiPriority w:val="1"/>
    <w:qFormat/>
    <w:rsid w:val="000E4234"/>
    <w:pPr>
      <w:spacing w:line="266" w:lineRule="auto"/>
    </w:pPr>
    <w:rPr>
      <w:szCs w:val="20"/>
    </w:rPr>
  </w:style>
  <w:style w:type="paragraph" w:styleId="FootnoteText">
    <w:name w:val="footnote text"/>
    <w:basedOn w:val="Normal"/>
    <w:link w:val="FootnoteTextChar"/>
    <w:uiPriority w:val="99"/>
    <w:semiHidden/>
    <w:unhideWhenUsed/>
    <w:rsid w:val="00F20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B48"/>
    <w:rPr>
      <w:sz w:val="20"/>
      <w:szCs w:val="20"/>
    </w:rPr>
  </w:style>
  <w:style w:type="character" w:styleId="FootnoteReference">
    <w:name w:val="footnote reference"/>
    <w:basedOn w:val="DefaultParagraphFont"/>
    <w:uiPriority w:val="99"/>
    <w:semiHidden/>
    <w:unhideWhenUsed/>
    <w:rsid w:val="00F20B48"/>
    <w:rPr>
      <w:vertAlign w:val="superscript"/>
    </w:rPr>
  </w:style>
  <w:style w:type="paragraph" w:styleId="Header">
    <w:name w:val="header"/>
    <w:basedOn w:val="Normal"/>
    <w:link w:val="HeaderChar"/>
    <w:uiPriority w:val="99"/>
    <w:unhideWhenUsed/>
    <w:rsid w:val="00E94E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4EFB"/>
  </w:style>
  <w:style w:type="paragraph" w:styleId="Footer">
    <w:name w:val="footer"/>
    <w:basedOn w:val="Normal"/>
    <w:link w:val="FooterChar"/>
    <w:uiPriority w:val="99"/>
    <w:unhideWhenUsed/>
    <w:rsid w:val="00E94E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4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920"/>
    <w:pPr>
      <w:ind w:left="720"/>
      <w:contextualSpacing/>
    </w:pPr>
  </w:style>
  <w:style w:type="paragraph" w:styleId="BalloonText">
    <w:name w:val="Balloon Text"/>
    <w:basedOn w:val="Normal"/>
    <w:link w:val="BalloonTextChar"/>
    <w:uiPriority w:val="99"/>
    <w:semiHidden/>
    <w:unhideWhenUsed/>
    <w:rsid w:val="00E7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DC"/>
    <w:rPr>
      <w:rFonts w:ascii="Tahoma" w:hAnsi="Tahoma" w:cs="Tahoma"/>
      <w:sz w:val="16"/>
      <w:szCs w:val="16"/>
    </w:rPr>
  </w:style>
  <w:style w:type="character" w:styleId="CommentReference">
    <w:name w:val="annotation reference"/>
    <w:basedOn w:val="DefaultParagraphFont"/>
    <w:uiPriority w:val="99"/>
    <w:semiHidden/>
    <w:unhideWhenUsed/>
    <w:rsid w:val="007B1267"/>
    <w:rPr>
      <w:sz w:val="16"/>
      <w:szCs w:val="16"/>
    </w:rPr>
  </w:style>
  <w:style w:type="paragraph" w:styleId="CommentText">
    <w:name w:val="annotation text"/>
    <w:basedOn w:val="Normal"/>
    <w:link w:val="CommentTextChar"/>
    <w:uiPriority w:val="99"/>
    <w:semiHidden/>
    <w:unhideWhenUsed/>
    <w:rsid w:val="007B1267"/>
    <w:pPr>
      <w:spacing w:line="240" w:lineRule="auto"/>
    </w:pPr>
    <w:rPr>
      <w:sz w:val="20"/>
      <w:szCs w:val="20"/>
    </w:rPr>
  </w:style>
  <w:style w:type="character" w:customStyle="1" w:styleId="CommentTextChar">
    <w:name w:val="Comment Text Char"/>
    <w:basedOn w:val="DefaultParagraphFont"/>
    <w:link w:val="CommentText"/>
    <w:uiPriority w:val="99"/>
    <w:semiHidden/>
    <w:rsid w:val="007B1267"/>
    <w:rPr>
      <w:sz w:val="20"/>
      <w:szCs w:val="20"/>
    </w:rPr>
  </w:style>
  <w:style w:type="paragraph" w:styleId="CommentSubject">
    <w:name w:val="annotation subject"/>
    <w:basedOn w:val="CommentText"/>
    <w:next w:val="CommentText"/>
    <w:link w:val="CommentSubjectChar"/>
    <w:uiPriority w:val="99"/>
    <w:semiHidden/>
    <w:unhideWhenUsed/>
    <w:rsid w:val="007B1267"/>
    <w:rPr>
      <w:b/>
      <w:bCs/>
    </w:rPr>
  </w:style>
  <w:style w:type="character" w:customStyle="1" w:styleId="CommentSubjectChar">
    <w:name w:val="Comment Subject Char"/>
    <w:basedOn w:val="CommentTextChar"/>
    <w:link w:val="CommentSubject"/>
    <w:uiPriority w:val="99"/>
    <w:semiHidden/>
    <w:rsid w:val="007B1267"/>
    <w:rPr>
      <w:b/>
      <w:bCs/>
      <w:sz w:val="20"/>
      <w:szCs w:val="20"/>
    </w:rPr>
  </w:style>
  <w:style w:type="paragraph" w:customStyle="1" w:styleId="Hydrotekst">
    <w:name w:val="Hydro tekst"/>
    <w:basedOn w:val="Normal"/>
    <w:uiPriority w:val="1"/>
    <w:qFormat/>
    <w:rsid w:val="000E4234"/>
    <w:pPr>
      <w:spacing w:line="266" w:lineRule="auto"/>
    </w:pPr>
    <w:rPr>
      <w:szCs w:val="20"/>
    </w:rPr>
  </w:style>
  <w:style w:type="paragraph" w:styleId="FootnoteText">
    <w:name w:val="footnote text"/>
    <w:basedOn w:val="Normal"/>
    <w:link w:val="FootnoteTextChar"/>
    <w:uiPriority w:val="99"/>
    <w:semiHidden/>
    <w:unhideWhenUsed/>
    <w:rsid w:val="00F20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B48"/>
    <w:rPr>
      <w:sz w:val="20"/>
      <w:szCs w:val="20"/>
    </w:rPr>
  </w:style>
  <w:style w:type="character" w:styleId="FootnoteReference">
    <w:name w:val="footnote reference"/>
    <w:basedOn w:val="DefaultParagraphFont"/>
    <w:uiPriority w:val="99"/>
    <w:semiHidden/>
    <w:unhideWhenUsed/>
    <w:rsid w:val="00F20B48"/>
    <w:rPr>
      <w:vertAlign w:val="superscript"/>
    </w:rPr>
  </w:style>
  <w:style w:type="paragraph" w:styleId="Header">
    <w:name w:val="header"/>
    <w:basedOn w:val="Normal"/>
    <w:link w:val="HeaderChar"/>
    <w:uiPriority w:val="99"/>
    <w:unhideWhenUsed/>
    <w:rsid w:val="00E94E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4EFB"/>
  </w:style>
  <w:style w:type="paragraph" w:styleId="Footer">
    <w:name w:val="footer"/>
    <w:basedOn w:val="Normal"/>
    <w:link w:val="FooterChar"/>
    <w:uiPriority w:val="99"/>
    <w:unhideWhenUsed/>
    <w:rsid w:val="00E94E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Solvay</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 Jean-philippe</dc:creator>
  <cp:lastModifiedBy>Perrot, Jean-philippe</cp:lastModifiedBy>
  <cp:revision>4</cp:revision>
  <dcterms:created xsi:type="dcterms:W3CDTF">2020-03-10T12:19:00Z</dcterms:created>
  <dcterms:modified xsi:type="dcterms:W3CDTF">2020-03-10T12:23:00Z</dcterms:modified>
</cp:coreProperties>
</file>